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5"/>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WG1#10</w:t>
      </w:r>
      <w:r>
        <w:rPr>
          <w:rFonts w:hint="eastAsia" w:ascii="Arial" w:hAnsi="Arial" w:cs="Arial"/>
          <w:b/>
          <w:bCs/>
          <w:sz w:val="28"/>
          <w:lang w:val="en-US" w:eastAsia="zh-CN"/>
        </w:rPr>
        <w:t>7</w:t>
      </w:r>
      <w:r>
        <w:rPr>
          <w:rFonts w:ascii="Arial" w:hAnsi="Arial" w:cs="Arial"/>
          <w:b/>
          <w:bCs/>
          <w:sz w:val="28"/>
        </w:rPr>
        <w:t xml:space="preserve">-e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eastAsia="zh-CN"/>
        </w:rPr>
        <w:t>1</w:t>
      </w:r>
      <w:r>
        <w:rPr>
          <w:rFonts w:hint="eastAsia" w:ascii="Arial" w:hAnsi="Arial" w:cs="Arial"/>
          <w:b/>
          <w:bCs/>
          <w:sz w:val="28"/>
          <w:lang w:val="en-US" w:eastAsia="zh-CN"/>
        </w:rPr>
        <w:t>11673</w:t>
      </w:r>
    </w:p>
    <w:p>
      <w:pPr>
        <w:tabs>
          <w:tab w:val="center" w:pos="4536"/>
          <w:tab w:val="right" w:pos="8280"/>
          <w:tab w:val="right" w:pos="9639"/>
        </w:tabs>
        <w:ind w:right="2"/>
        <w:rPr>
          <w:rFonts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eastAsia="宋体" w:cs="Arial"/>
          <w:b/>
          <w:bCs/>
          <w:sz w:val="28"/>
          <w:lang w:val="en-US" w:eastAsia="zh-CN"/>
        </w:rPr>
        <w:t>November</w:t>
      </w:r>
      <w:r>
        <w:rPr>
          <w:rFonts w:ascii="Arial" w:hAnsi="Arial" w:eastAsia="MS Mincho" w:cs="Arial"/>
          <w:b/>
          <w:bCs/>
          <w:sz w:val="28"/>
          <w:lang w:eastAsia="ja-JP"/>
        </w:rPr>
        <w:t xml:space="preserve"> 1</w:t>
      </w:r>
      <w:r>
        <w:rPr>
          <w:rFonts w:hint="eastAsia" w:ascii="Arial" w:hAnsi="Arial" w:eastAsia="宋体" w:cs="Arial"/>
          <w:b/>
          <w:bCs/>
          <w:sz w:val="28"/>
          <w:lang w:val="en-US" w:eastAsia="zh-CN"/>
        </w:rPr>
        <w:t>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pBdr>
          <w:top w:val="single" w:color="auto" w:sz="4" w:space="0"/>
        </w:pBdr>
        <w:spacing w:after="0"/>
        <w:jc w:val="left"/>
        <w:rPr>
          <w:b/>
          <w:bCs/>
          <w:sz w:val="16"/>
          <w:szCs w:val="16"/>
        </w:rPr>
      </w:pPr>
    </w:p>
    <w:p>
      <w:pPr>
        <w:spacing w:after="60"/>
        <w:ind w:left="1555" w:hanging="1555"/>
        <w:jc w:val="left"/>
        <w:rPr>
          <w:rFonts w:hint="eastAsia" w:eastAsiaTheme="minorEastAsia"/>
          <w:b/>
          <w:lang w:val="en-US" w:eastAsia="zh-CN"/>
        </w:rPr>
      </w:pPr>
      <w:r>
        <w:rPr>
          <w:b/>
        </w:rPr>
        <w:t>Agenda Item:</w:t>
      </w:r>
      <w:r>
        <w:rPr>
          <w:b/>
        </w:rPr>
        <w:tab/>
      </w:r>
      <w:r>
        <w:rPr>
          <w:b/>
        </w:rPr>
        <w:t>8.2.</w:t>
      </w:r>
      <w:r>
        <w:rPr>
          <w:rFonts w:hint="eastAsia"/>
          <w:b/>
          <w:lang w:val="en-US" w:eastAsia="zh-CN"/>
        </w:rPr>
        <w:t>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28"/>
      <w:bookmarkStart w:id="1" w:name="OLE_LINK24"/>
      <w:bookmarkStart w:id="2" w:name="OLE_LINK25"/>
      <w:bookmarkStart w:id="3" w:name="OLE_LINK12"/>
      <w:bookmarkStart w:id="4" w:name="OLE_LINK11"/>
      <w:r>
        <w:rPr>
          <w:b/>
          <w:lang w:eastAsia="zh-CN"/>
        </w:rPr>
        <w:t>Discussion o</w:t>
      </w:r>
      <w:r>
        <w:rPr>
          <w:b/>
        </w:rPr>
        <w:t xml:space="preserve">n </w:t>
      </w:r>
      <w:bookmarkEnd w:id="0"/>
      <w:bookmarkEnd w:id="1"/>
      <w:bookmarkEnd w:id="2"/>
      <w:r>
        <w:rPr>
          <w:rFonts w:hint="eastAsia"/>
          <w:b/>
          <w:lang w:val="en-US" w:eastAsia="zh-CN"/>
        </w:rPr>
        <w:t>PDCCH monitoring enhancements</w:t>
      </w:r>
      <w:r>
        <w:rPr>
          <w:b/>
        </w:rPr>
        <w:t xml:space="preserve"> for above 52.6GHz</w:t>
      </w:r>
      <w:bookmarkEnd w:id="3"/>
      <w:bookmarkEnd w:id="4"/>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5" w:name="OLE_LINK13"/>
      <w:bookmarkStart w:id="6" w:name="OLE_LINK14"/>
      <w:bookmarkStart w:id="7" w:name="_Ref494215420"/>
    </w:p>
    <w:bookmarkEnd w:id="5"/>
    <w:bookmarkEnd w:id="6"/>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RAN1#106bis-e</w:t>
      </w:r>
      <w:r>
        <w:rPr>
          <w:lang w:eastAsia="zh-CN"/>
        </w:rPr>
        <w:t xml:space="preserve"> meeting, the following agreements on </w:t>
      </w:r>
      <w:r>
        <w:rPr>
          <w:rFonts w:hint="eastAsia"/>
          <w:lang w:val="en-US" w:eastAsia="zh-CN"/>
        </w:rPr>
        <w:t>PDCCH monitoring enhancements</w:t>
      </w:r>
      <w:r>
        <w:rPr>
          <w:lang w:eastAsia="zh-CN"/>
        </w:rPr>
        <w:t xml:space="preserve"> had been achieved: [1]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tcPr>
          <w:p>
            <w:pPr>
              <w:widowControl w:val="0"/>
              <w:autoSpaceDE/>
              <w:autoSpaceDN/>
              <w:adjustRightInd/>
              <w:snapToGrid/>
              <w:spacing w:after="0"/>
              <w:jc w:val="left"/>
              <w:rPr>
                <w:rFonts w:ascii="Times" w:hAnsi="Times" w:eastAsia="바탕"/>
                <w:sz w:val="20"/>
                <w:szCs w:val="24"/>
                <w:lang w:val="en-GB"/>
              </w:rPr>
            </w:pPr>
            <w:r>
              <w:rPr>
                <w:rFonts w:ascii="Times" w:hAnsi="Times" w:eastAsia="바탕"/>
                <w:sz w:val="20"/>
                <w:szCs w:val="24"/>
                <w:highlight w:val="green"/>
                <w:lang w:val="en-GB"/>
              </w:rPr>
              <w:t>Agreement:</w:t>
            </w:r>
          </w:p>
          <w:p>
            <w:pPr>
              <w:widowControl w:val="0"/>
              <w:numPr>
                <w:ilvl w:val="0"/>
                <w:numId w:val="8"/>
              </w:numPr>
              <w:autoSpaceDE/>
              <w:autoSpaceDN/>
              <w:adjustRightInd/>
              <w:snapToGrid/>
              <w:spacing w:after="0"/>
              <w:ind w:left="720" w:hanging="360"/>
              <w:jc w:val="left"/>
              <w:rPr>
                <w:rFonts w:ascii="Times" w:hAnsi="Times" w:eastAsia="바탕"/>
                <w:b/>
                <w:bCs/>
                <w:sz w:val="20"/>
                <w:szCs w:val="24"/>
                <w:lang w:val="en-GB"/>
              </w:rPr>
            </w:pPr>
            <w:r>
              <w:rPr>
                <w:rFonts w:ascii="Times" w:hAnsi="Times" w:eastAsia="바탕"/>
                <w:sz w:val="20"/>
                <w:szCs w:val="24"/>
                <w:lang w:val="en-GB"/>
              </w:rPr>
              <w:t>Multi-slot PDCCH monitoring is based on slots within a slot group</w:t>
            </w:r>
          </w:p>
          <w:p>
            <w:pPr>
              <w:widowControl w:val="0"/>
              <w:numPr>
                <w:ilvl w:val="1"/>
                <w:numId w:val="8"/>
              </w:numPr>
              <w:autoSpaceDE/>
              <w:autoSpaceDN/>
              <w:adjustRightInd/>
              <w:snapToGrid/>
              <w:spacing w:after="0"/>
              <w:ind w:left="1440" w:hanging="360"/>
              <w:jc w:val="left"/>
              <w:rPr>
                <w:rFonts w:ascii="Times" w:hAnsi="Times" w:eastAsia="바탕"/>
                <w:sz w:val="20"/>
                <w:szCs w:val="24"/>
                <w:lang w:val="en-US"/>
              </w:rPr>
            </w:pPr>
            <w:r>
              <w:rPr>
                <w:rFonts w:ascii="Times" w:hAnsi="Times" w:eastAsia="바탕"/>
                <w:sz w:val="20"/>
                <w:szCs w:val="24"/>
                <w:lang w:val="en-US"/>
              </w:rPr>
              <w:t>Each slot group consists of X consecutive 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Slot groups are consecutive and non-overlapping</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The start of the first slot group in a subframe is aligned with the subframe boundary</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The start of each slot group is aligned with a slot boundary</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 xml:space="preserve">Reporting the </w:t>
            </w:r>
            <w:r>
              <w:rPr>
                <w:rFonts w:ascii="Times" w:hAnsi="Times" w:eastAsia="바탕"/>
                <w:sz w:val="20"/>
                <w:szCs w:val="24"/>
                <w:lang w:val="en-US"/>
              </w:rPr>
              <w:t>BD/CCE budget</w:t>
            </w:r>
            <w:r>
              <w:rPr>
                <w:rFonts w:ascii="Times" w:hAnsi="Times" w:eastAsia="바탕"/>
                <w:sz w:val="20"/>
                <w:szCs w:val="24"/>
                <w:lang w:val="en-GB"/>
              </w:rPr>
              <w:t xml:space="preserve"> for X=4/8 slots (for 480/960 kHz resp.) is mandatory (if UE supports the corresponding SCS), and is optional for X=[2]/4 slots (for 480/960 kHz resp.)</w:t>
            </w:r>
          </w:p>
          <w:p>
            <w:pPr>
              <w:widowControl w:val="0"/>
              <w:numPr>
                <w:ilvl w:val="0"/>
                <w:numId w:val="8"/>
              </w:numPr>
              <w:autoSpaceDE/>
              <w:autoSpaceDN/>
              <w:adjustRightInd/>
              <w:snapToGrid/>
              <w:spacing w:after="0"/>
              <w:ind w:left="720" w:hanging="360"/>
              <w:jc w:val="left"/>
              <w:rPr>
                <w:rFonts w:ascii="Times" w:hAnsi="Times" w:eastAsia="바탕"/>
                <w:sz w:val="20"/>
                <w:szCs w:val="24"/>
                <w:lang w:val="en-GB"/>
              </w:rPr>
            </w:pPr>
            <w:r>
              <w:rPr>
                <w:rFonts w:ascii="Times" w:hAnsi="Times" w:eastAsia="바탕"/>
                <w:sz w:val="20"/>
                <w:szCs w:val="24"/>
                <w:lang w:val="en-GB"/>
              </w:rPr>
              <w:t>There is a common BD budget for all search spaces</w:t>
            </w:r>
          </w:p>
          <w:p>
            <w:pPr>
              <w:widowControl w:val="0"/>
              <w:numPr>
                <w:ilvl w:val="0"/>
                <w:numId w:val="8"/>
              </w:numPr>
              <w:autoSpaceDE/>
              <w:autoSpaceDN/>
              <w:adjustRightInd/>
              <w:snapToGrid/>
              <w:spacing w:after="0"/>
              <w:ind w:left="720" w:hanging="360"/>
              <w:jc w:val="left"/>
              <w:rPr>
                <w:rFonts w:ascii="Times" w:hAnsi="Times" w:eastAsia="바탕"/>
                <w:sz w:val="20"/>
                <w:szCs w:val="24"/>
                <w:lang w:val="en-GB"/>
              </w:rPr>
            </w:pPr>
            <w:bookmarkStart w:id="8" w:name="OLE_LINK1"/>
            <w:r>
              <w:rPr>
                <w:rFonts w:ascii="Times" w:hAnsi="Times" w:eastAsia="바탕"/>
                <w:sz w:val="20"/>
                <w:szCs w:val="24"/>
                <w:lang w:val="en-GB"/>
              </w:rPr>
              <w:t>FFS: Search space configuration</w:t>
            </w:r>
          </w:p>
          <w:p>
            <w:pPr>
              <w:widowControl w:val="0"/>
              <w:numPr>
                <w:ilvl w:val="1"/>
                <w:numId w:val="8"/>
              </w:numPr>
              <w:autoSpaceDE/>
              <w:autoSpaceDN/>
              <w:adjustRightInd/>
              <w:snapToGrid/>
              <w:spacing w:after="0"/>
              <w:ind w:left="1440" w:hanging="360"/>
              <w:jc w:val="left"/>
              <w:rPr>
                <w:rFonts w:ascii="Times" w:hAnsi="Times" w:eastAsia="바탕"/>
                <w:sz w:val="20"/>
                <w:szCs w:val="24"/>
                <w:lang w:val="en-US"/>
              </w:rPr>
            </w:pPr>
            <w:r>
              <w:rPr>
                <w:rFonts w:hint="eastAsia" w:ascii="Times" w:hAnsi="Times" w:eastAsia="바탕"/>
                <w:sz w:val="20"/>
                <w:szCs w:val="24"/>
                <w:lang w:val="en-US"/>
              </w:rPr>
              <w:t>F</w:t>
            </w:r>
            <w:r>
              <w:rPr>
                <w:rFonts w:ascii="Times" w:hAnsi="Times" w:eastAsia="바탕"/>
                <w:sz w:val="20"/>
                <w:szCs w:val="24"/>
                <w:lang w:val="en-US"/>
              </w:rPr>
              <w:t>or Group (1) SS</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A SS is configured to be within Y</w:t>
            </w:r>
            <w:r>
              <w:rPr>
                <w:rFonts w:ascii="Times" w:hAnsi="Times" w:eastAsia="바탕"/>
                <w:sz w:val="20"/>
                <w:szCs w:val="24"/>
                <w:vertAlign w:val="subscript"/>
                <w:lang w:val="en-GB"/>
              </w:rPr>
              <w:t>Group1</w:t>
            </w:r>
            <w:r>
              <w:rPr>
                <w:rFonts w:ascii="Times" w:hAnsi="Times" w:eastAsia="바탕"/>
                <w:sz w:val="20"/>
                <w:szCs w:val="24"/>
                <w:lang w:val="en-GB"/>
              </w:rPr>
              <w:t xml:space="preserve"> consecutive slots within a slot group of X 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 xml:space="preserve">The location of the </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xml:space="preserve"> </w:t>
            </w:r>
            <w:r>
              <w:rPr>
                <w:rFonts w:ascii="Times" w:hAnsi="Times" w:eastAsia="바탕"/>
                <w:sz w:val="20"/>
                <w:szCs w:val="24"/>
                <w:lang w:val="en-US"/>
              </w:rPr>
              <w:t xml:space="preserve">consecutive slots within a slot group of X slots is based on a time offset within the slot group based on slot index n0 determined for Group (2) monitoring such that the </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xml:space="preserve"> </w:t>
            </w:r>
            <w:r>
              <w:rPr>
                <w:rFonts w:ascii="Times" w:hAnsi="Times" w:eastAsia="바탕"/>
                <w:sz w:val="20"/>
                <w:szCs w:val="24"/>
                <w:lang w:val="en-US"/>
              </w:rPr>
              <w:t xml:space="preserve">slots overlap the </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xml:space="preserve"> </w:t>
            </w:r>
            <w:r>
              <w:rPr>
                <w:rFonts w:ascii="Times" w:hAnsi="Times" w:eastAsia="바탕"/>
                <w:sz w:val="20"/>
                <w:szCs w:val="24"/>
                <w:lang w:val="en-US"/>
              </w:rPr>
              <w:t>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 xml:space="preserve">The location of the </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xml:space="preserve"> </w:t>
            </w:r>
            <w:r>
              <w:rPr>
                <w:rFonts w:ascii="Times" w:hAnsi="Times" w:eastAsia="바탕"/>
                <w:sz w:val="20"/>
                <w:szCs w:val="24"/>
                <w:lang w:val="en-US"/>
              </w:rPr>
              <w:t xml:space="preserve">consecutive slots within a </w:t>
            </w:r>
            <w:r>
              <w:rPr>
                <w:rFonts w:ascii="Times" w:hAnsi="Times" w:eastAsia="바탕"/>
                <w:sz w:val="20"/>
                <w:szCs w:val="24"/>
                <w:lang w:val="en-GB"/>
              </w:rPr>
              <w:t>slot group of X slots</w:t>
            </w:r>
            <w:r>
              <w:rPr>
                <w:rFonts w:ascii="Times" w:hAnsi="Times" w:eastAsia="바탕"/>
                <w:sz w:val="20"/>
                <w:szCs w:val="24"/>
                <w:lang w:val="en-US"/>
              </w:rPr>
              <w:t xml:space="preserve"> is maintained across different slot groups (unless n0 changes)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GB"/>
              </w:rPr>
              <w:t>BD attempts for all Group (1) SSs are restricted to fall within the same Y</w:t>
            </w:r>
            <w:r>
              <w:rPr>
                <w:rFonts w:ascii="Times" w:hAnsi="Times" w:eastAsia="바탕"/>
                <w:sz w:val="20"/>
                <w:szCs w:val="24"/>
                <w:vertAlign w:val="subscript"/>
                <w:lang w:val="en-GB"/>
              </w:rPr>
              <w:t>Group1</w:t>
            </w:r>
            <w:r>
              <w:rPr>
                <w:rFonts w:ascii="Times" w:hAnsi="Times" w:eastAsia="바탕"/>
                <w:sz w:val="20"/>
                <w:szCs w:val="24"/>
                <w:lang w:val="en-GB"/>
              </w:rPr>
              <w:t xml:space="preserve"> consecutive slots</w:t>
            </w:r>
          </w:p>
          <w:p>
            <w:pPr>
              <w:widowControl w:val="0"/>
              <w:numPr>
                <w:ilvl w:val="1"/>
                <w:numId w:val="8"/>
              </w:numPr>
              <w:autoSpaceDE/>
              <w:autoSpaceDN/>
              <w:adjustRightInd/>
              <w:snapToGrid/>
              <w:spacing w:after="0"/>
              <w:ind w:left="1440" w:hanging="360"/>
              <w:jc w:val="left"/>
              <w:rPr>
                <w:rFonts w:ascii="Times" w:hAnsi="Times" w:eastAsia="바탕"/>
                <w:sz w:val="20"/>
                <w:szCs w:val="24"/>
                <w:lang w:val="en-US"/>
              </w:rPr>
            </w:pPr>
            <w:r>
              <w:rPr>
                <w:rFonts w:hint="eastAsia" w:ascii="Times" w:hAnsi="Times" w:eastAsia="바탕"/>
                <w:sz w:val="20"/>
                <w:szCs w:val="24"/>
                <w:lang w:val="en-US"/>
              </w:rPr>
              <w:t>F</w:t>
            </w:r>
            <w:r>
              <w:rPr>
                <w:rFonts w:ascii="Times" w:hAnsi="Times" w:eastAsia="바탕"/>
                <w:sz w:val="20"/>
                <w:szCs w:val="24"/>
                <w:lang w:val="en-US"/>
              </w:rPr>
              <w:t>or Group (2) SS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GB"/>
              </w:rPr>
              <w:t>A SS is configured to be within Y</w:t>
            </w:r>
            <w:r>
              <w:rPr>
                <w:rFonts w:ascii="Times" w:hAnsi="Times" w:eastAsia="바탕"/>
                <w:sz w:val="20"/>
                <w:szCs w:val="24"/>
                <w:vertAlign w:val="subscript"/>
                <w:lang w:val="en-GB"/>
              </w:rPr>
              <w:t>Group2</w:t>
            </w:r>
            <w:r>
              <w:rPr>
                <w:rFonts w:ascii="Times" w:hAnsi="Times" w:eastAsia="바탕"/>
                <w:sz w:val="20"/>
                <w:szCs w:val="24"/>
                <w:lang w:val="en-GB"/>
              </w:rPr>
              <w:t xml:space="preserve"> consecutive slots within a slot group of X 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 xml:space="preserve">The location of the </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xml:space="preserve"> </w:t>
            </w:r>
            <w:r>
              <w:rPr>
                <w:rFonts w:ascii="Times" w:hAnsi="Times" w:eastAsia="바탕"/>
                <w:sz w:val="20"/>
                <w:szCs w:val="24"/>
                <w:lang w:val="en-US"/>
              </w:rPr>
              <w:t>consecutive slots within a slot group of X slots is maintained across different slot groups (unless n0 changes)</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US"/>
              </w:rPr>
              <w:t>The reported capability indicates the BD/CCE budget within Y=max(</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2</w:t>
            </w:r>
            <w:r>
              <w:rPr>
                <w:rFonts w:ascii="Times" w:hAnsi="Times" w:eastAsia="바탕"/>
                <w:sz w:val="20"/>
                <w:szCs w:val="24"/>
                <w:lang w:val="en-US"/>
              </w:rPr>
              <w:t>) slots per slot group</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GB"/>
              </w:rPr>
              <w:t>Support the following values of Y</w:t>
            </w:r>
            <w:r>
              <w:rPr>
                <w:rFonts w:ascii="Times" w:hAnsi="Times" w:eastAsia="바탕"/>
                <w:sz w:val="20"/>
                <w:szCs w:val="24"/>
                <w:vertAlign w:val="subscript"/>
                <w:lang w:val="en-GB"/>
              </w:rPr>
              <w:t>Group1</w:t>
            </w:r>
            <w:r>
              <w:rPr>
                <w:rFonts w:ascii="Times" w:hAnsi="Times" w:eastAsia="바탕"/>
                <w:sz w:val="20"/>
                <w:szCs w:val="24"/>
                <w:lang w:val="en-GB"/>
              </w:rPr>
              <w:t xml:space="preserve"> and Y</w:t>
            </w:r>
            <w:r>
              <w:rPr>
                <w:rFonts w:ascii="Times" w:hAnsi="Times" w:eastAsia="바탕"/>
                <w:sz w:val="20"/>
                <w:szCs w:val="24"/>
                <w:vertAlign w:val="subscript"/>
                <w:lang w:val="en-GB"/>
              </w:rPr>
              <w:t>Group2</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For X=8: (Y</w:t>
            </w:r>
            <w:r>
              <w:rPr>
                <w:rFonts w:ascii="Times" w:hAnsi="Times" w:eastAsia="바탕"/>
                <w:sz w:val="20"/>
                <w:szCs w:val="24"/>
                <w:vertAlign w:val="subscript"/>
                <w:lang w:val="en-GB"/>
              </w:rPr>
              <w:t>Group1</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 (4,2), (2,2), (1,[1 or 2])</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For X=4: (Y</w:t>
            </w:r>
            <w:r>
              <w:rPr>
                <w:rFonts w:ascii="Times" w:hAnsi="Times" w:eastAsia="바탕"/>
                <w:sz w:val="20"/>
                <w:szCs w:val="24"/>
                <w:vertAlign w:val="subscript"/>
                <w:lang w:val="en-GB"/>
              </w:rPr>
              <w:t>Group1</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 (2,2), (1,[1 or 2])</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For X=2: (Y</w:t>
            </w:r>
            <w:r>
              <w:rPr>
                <w:rFonts w:ascii="Times" w:hAnsi="Times" w:eastAsia="바탕"/>
                <w:sz w:val="20"/>
                <w:szCs w:val="24"/>
                <w:vertAlign w:val="subscript"/>
                <w:lang w:val="en-GB"/>
              </w:rPr>
              <w:t>Group1</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 (1,[1 or 2])</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GB"/>
              </w:rPr>
              <w:t>Group (1) SS: Type 1 CSS with dedicated RRC configuration and type 3 CSS, UE specific SS</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GB"/>
              </w:rPr>
              <w:t>Group (2) SS: Type 1 CSS without dedicated RRC configuration and type 0, 0A, and 2 CSS</w:t>
            </w:r>
          </w:p>
          <w:bookmarkEnd w:id="8"/>
          <w:p>
            <w:pPr>
              <w:widowControl w:val="0"/>
              <w:numPr>
                <w:ilvl w:val="0"/>
                <w:numId w:val="0"/>
              </w:numPr>
              <w:overflowPunct/>
              <w:autoSpaceDE/>
              <w:autoSpaceDN/>
              <w:adjustRightInd/>
              <w:snapToGrid w:val="0"/>
              <w:spacing w:after="0" w:line="259" w:lineRule="auto"/>
              <w:contextualSpacing w:val="0"/>
              <w:textAlignment w:val="auto"/>
              <w:rPr>
                <w:rFonts w:hint="eastAsia"/>
                <w:lang w:eastAsia="zh-CN"/>
              </w:rPr>
            </w:pPr>
          </w:p>
        </w:tc>
      </w:tr>
    </w:tbl>
    <w:p>
      <w:pPr>
        <w:widowControl w:val="0"/>
        <w:kinsoku w:val="0"/>
        <w:overflowPunct w:val="0"/>
        <w:adjustRightInd/>
        <w:snapToGrid/>
        <w:rPr>
          <w:lang w:val="en" w:eastAsia="zh-CN"/>
        </w:rPr>
      </w:pPr>
    </w:p>
    <w:p>
      <w:pPr>
        <w:widowControl w:val="0"/>
        <w:kinsoku w:val="0"/>
        <w:overflowPunct w:val="0"/>
        <w:adjustRightInd/>
        <w:snapToGrid/>
        <w:rPr>
          <w:lang w:val="en" w:eastAsia="zh-CN"/>
        </w:rPr>
      </w:pPr>
      <w:r>
        <w:rPr>
          <w:lang w:eastAsia="zh-CN"/>
        </w:rPr>
        <w:t>I</w:t>
      </w:r>
      <w:r>
        <w:rPr>
          <w:rFonts w:hint="eastAsia"/>
          <w:lang w:eastAsia="zh-CN"/>
        </w:rPr>
        <w:t xml:space="preserve">n </w:t>
      </w:r>
      <w:r>
        <w:rPr>
          <w:rFonts w:hint="eastAsia"/>
          <w:lang w:val="en-US" w:eastAsia="zh-CN"/>
        </w:rPr>
        <w:t>RAN1#106-e</w:t>
      </w:r>
      <w:r>
        <w:rPr>
          <w:lang w:eastAsia="zh-CN"/>
        </w:rPr>
        <w:t xml:space="preserve"> meeting, the following agreements on </w:t>
      </w:r>
      <w:r>
        <w:rPr>
          <w:rFonts w:hint="eastAsia"/>
          <w:lang w:val="en-US" w:eastAsia="zh-CN"/>
        </w:rPr>
        <w:t>PDCCH monitoring enhancements</w:t>
      </w:r>
      <w:r>
        <w:rPr>
          <w:lang w:eastAsia="zh-CN"/>
        </w:rPr>
        <w:t xml:space="preserve"> had been achieved: [</w:t>
      </w:r>
      <w:r>
        <w:rPr>
          <w:rFonts w:hint="eastAsia"/>
          <w:lang w:val="en-US" w:eastAsia="zh-CN"/>
        </w:rPr>
        <w:t>2</w:t>
      </w:r>
      <w:r>
        <w:rPr>
          <w:lang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autoSpaceDE/>
              <w:autoSpaceDN/>
              <w:adjustRightInd/>
              <w:snapToGrid/>
              <w:spacing w:after="0"/>
              <w:jc w:val="left"/>
              <w:rPr>
                <w:rFonts w:ascii="Times" w:hAnsi="Times" w:eastAsia="바탕" w:cs="Times New Roman"/>
                <w:kern w:val="0"/>
                <w:sz w:val="20"/>
                <w:szCs w:val="20"/>
                <w:lang w:val="en-GB" w:eastAsia="en-US"/>
              </w:rPr>
            </w:pPr>
            <w:r>
              <w:rPr>
                <w:rFonts w:ascii="Times" w:hAnsi="Times" w:eastAsia="바탕" w:cs="Times New Roman"/>
                <w:kern w:val="0"/>
                <w:sz w:val="20"/>
                <w:szCs w:val="20"/>
                <w:highlight w:val="green"/>
                <w:lang w:val="en-GB" w:eastAsia="en-US"/>
              </w:rPr>
              <w:t>Agreement:</w:t>
            </w:r>
          </w:p>
          <w:p>
            <w:pPr>
              <w:widowControl/>
              <w:autoSpaceDE/>
              <w:autoSpaceDN/>
              <w:adjustRightInd/>
              <w:snapToGrid/>
              <w:spacing w:after="0"/>
              <w:jc w:val="left"/>
              <w:rPr>
                <w:rFonts w:ascii="Times" w:hAnsi="Times" w:eastAsia="바탕" w:cs="Times New Roman"/>
                <w:kern w:val="0"/>
                <w:sz w:val="20"/>
                <w:szCs w:val="20"/>
                <w:lang w:val="en-GB" w:eastAsia="zh-CN"/>
              </w:rPr>
            </w:pPr>
            <w:r>
              <w:rPr>
                <w:rFonts w:ascii="Times" w:hAnsi="Times" w:eastAsia="바탕" w:cs="Times New Roman"/>
                <w:kern w:val="0"/>
                <w:sz w:val="20"/>
                <w:szCs w:val="20"/>
                <w:lang w:val="en-GB" w:eastAsia="zh-CN"/>
              </w:rPr>
              <w:t>For reporting the multi-slot PDCCH monitoring capability, at least the following values are supported:</w:t>
            </w:r>
          </w:p>
          <w:p>
            <w:pPr>
              <w:widowControl w:val="0"/>
              <w:numPr>
                <w:ilvl w:val="0"/>
                <w:numId w:val="9"/>
              </w:numPr>
              <w:autoSpaceDE/>
              <w:autoSpaceDN/>
              <w:adjustRightInd/>
              <w:snapToGrid w:val="0"/>
              <w:spacing w:after="0" w:line="259" w:lineRule="auto"/>
              <w:ind w:left="720" w:leftChars="0" w:hanging="360"/>
              <w:rPr>
                <w:rFonts w:ascii="Times" w:hAnsi="Times" w:eastAsia="바탕" w:cs="Times New Roman"/>
                <w:kern w:val="2"/>
                <w:sz w:val="20"/>
                <w:szCs w:val="20"/>
                <w:lang w:val="en-GB" w:eastAsia="zh-CN" w:bidi="ar-SA"/>
              </w:rPr>
            </w:pPr>
            <w:r>
              <w:rPr>
                <w:rFonts w:ascii="Times" w:hAnsi="Times" w:eastAsia="바탕" w:cs="Times New Roman"/>
                <w:kern w:val="2"/>
                <w:sz w:val="20"/>
                <w:szCs w:val="20"/>
                <w:lang w:val="en-GB" w:eastAsia="zh-CN" w:bidi="ar-SA"/>
              </w:rPr>
              <w:t>X=4 slots for SCS 480 kHz</w:t>
            </w:r>
          </w:p>
          <w:p>
            <w:pPr>
              <w:widowControl w:val="0"/>
              <w:numPr>
                <w:ilvl w:val="0"/>
                <w:numId w:val="9"/>
              </w:numPr>
              <w:autoSpaceDE/>
              <w:autoSpaceDN/>
              <w:adjustRightInd/>
              <w:snapToGrid w:val="0"/>
              <w:spacing w:after="0" w:line="259" w:lineRule="auto"/>
              <w:ind w:left="720" w:leftChars="0" w:hanging="360"/>
              <w:rPr>
                <w:vertAlign w:val="baseline"/>
                <w:lang w:val="en" w:eastAsia="zh-CN"/>
              </w:rPr>
            </w:pPr>
            <w:r>
              <w:rPr>
                <w:rFonts w:ascii="Times" w:hAnsi="Times" w:eastAsia="바탕" w:cs="Times New Roman"/>
                <w:kern w:val="2"/>
                <w:sz w:val="20"/>
                <w:szCs w:val="20"/>
                <w:lang w:val="en-GB" w:eastAsia="zh-CN" w:bidi="ar-SA"/>
              </w:rPr>
              <w:t>X=8 slots for SCS 960 kHz</w:t>
            </w:r>
          </w:p>
        </w:tc>
      </w:tr>
    </w:tbl>
    <w:p>
      <w:pPr>
        <w:widowControl w:val="0"/>
        <w:kinsoku w:val="0"/>
        <w:overflowPunct w:val="0"/>
        <w:adjustRightInd/>
        <w:snapToGrid/>
        <w:rPr>
          <w:lang w:val="en" w:eastAsia="zh-CN"/>
        </w:rPr>
      </w:pPr>
    </w:p>
    <w:p>
      <w:pPr>
        <w:widowControl w:val="0"/>
        <w:kinsoku w:val="0"/>
        <w:overflowPunct w:val="0"/>
        <w:adjustRightInd/>
        <w:snapToGrid/>
      </w:pPr>
      <w:r>
        <w:t xml:space="preserve">In this contribution, we focus on </w:t>
      </w:r>
      <w:r>
        <w:rPr>
          <w:rFonts w:hint="eastAsia"/>
          <w:lang w:val="en-US" w:eastAsia="zh-CN"/>
        </w:rPr>
        <w:t>multi-slot</w:t>
      </w:r>
      <w:r>
        <w:rPr>
          <w:bCs/>
        </w:rPr>
        <w:t xml:space="preserve"> P</w:t>
      </w:r>
      <w:r>
        <w:rPr>
          <w:rFonts w:hint="eastAsia"/>
          <w:bCs/>
          <w:lang w:val="en-US" w:eastAsia="zh-CN"/>
        </w:rPr>
        <w:t>DCCH monitoring</w:t>
      </w:r>
      <w:r>
        <w:rPr>
          <w:bCs/>
        </w:rPr>
        <w:t xml:space="preserve"> enhancements</w:t>
      </w:r>
      <w:r>
        <w:rPr>
          <w:rFonts w:hint="eastAsia"/>
          <w:bCs/>
          <w:lang w:val="en-US" w:eastAsia="zh-CN"/>
        </w:rPr>
        <w:t xml:space="preserve"> </w:t>
      </w:r>
      <w:r>
        <w:t>in the 60GHz band</w:t>
      </w:r>
      <w:r>
        <w:rPr>
          <w:rFonts w:hint="eastAsia"/>
          <w:bCs/>
          <w:lang w:val="en-US" w:eastAsia="zh-CN"/>
        </w:rPr>
        <w:t>, including the definition of multi-slot PDCCH monitoring capability, search space configuration enhancement and search space set group switching.</w:t>
      </w:r>
    </w:p>
    <w:p>
      <w:pPr>
        <w:widowControl w:val="0"/>
        <w:kinsoku w:val="0"/>
        <w:overflowPunct w:val="0"/>
        <w:adjustRightInd/>
        <w:snapToGrid/>
      </w:pPr>
    </w:p>
    <w:p>
      <w:pPr>
        <w:pStyle w:val="2"/>
        <w:rPr>
          <w:lang w:val="en-GB" w:eastAsia="zh-CN"/>
        </w:rPr>
      </w:pPr>
      <w:r>
        <w:rPr>
          <w:lang w:eastAsia="zh-CN"/>
        </w:rPr>
        <w:t>Discussion</w:t>
      </w:r>
      <w:bookmarkStart w:id="9" w:name="OLE_LINK27"/>
      <w:bookmarkStart w:id="10" w:name="OLE_LINK26"/>
      <w:bookmarkStart w:id="11" w:name="OLE_LINK8"/>
    </w:p>
    <w:p>
      <w:pPr>
        <w:pStyle w:val="3"/>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1"/>
        <w:rPr>
          <w:rFonts w:hint="default"/>
          <w:highlight w:val="none"/>
          <w:lang w:val="en-US" w:eastAsia="zh-CN"/>
        </w:rPr>
      </w:pPr>
      <w:r>
        <w:rPr>
          <w:rFonts w:hint="eastAsia"/>
          <w:highlight w:val="none"/>
          <w:lang w:val="en-US" w:eastAsia="zh-CN"/>
        </w:rPr>
        <w:t>Multi-slot PDCCH monitoring capability definition</w:t>
      </w:r>
    </w:p>
    <w:bookmarkEnd w:id="9"/>
    <w:bookmarkEnd w:id="10"/>
    <w:bookmarkEnd w:id="11"/>
    <w:p>
      <w:pPr>
        <w:rPr>
          <w:rFonts w:hint="eastAsia"/>
          <w:szCs w:val="20"/>
          <w:highlight w:val="none"/>
          <w:lang w:val="en-US" w:eastAsia="zh-CN"/>
        </w:rPr>
      </w:pPr>
      <w:r>
        <w:rPr>
          <w:rFonts w:hint="eastAsia"/>
          <w:szCs w:val="20"/>
          <w:highlight w:val="none"/>
          <w:lang w:val="en-US" w:eastAsia="zh-CN"/>
        </w:rPr>
        <w:t>In the revised WID, in addition to the 120kHz SCS, 480kHz and 960kHz SCS are also introduced for control and data channels. If UE is required to monitor PDCCH in every slot, then it is quite challenge for UE implementation to maintain the same BD/CCE budget as Rel-15 NR, because for 480kHz SCS and 960kHz SCS, the TTI of one slot is reduced to 31.25/15.625 us, which is 1/4 or 1/8 of the TTI for 120kHz SCS. Therefore, in order to relax the per-slot PDCCH monitoring capability, multi-slot PDCCH monitoring capability has been proposed. In RAN1#106bis-e meeting, slot-group based PDCCH monitoring capability had been adopted for defining the multi-slot PDCCH monitoring capability.</w:t>
      </w:r>
    </w:p>
    <w:p>
      <w:pPr>
        <w:rPr>
          <w:rFonts w:hint="eastAsia"/>
          <w:szCs w:val="20"/>
          <w:highlight w:val="none"/>
          <w:lang w:val="en-US" w:eastAsia="zh-CN"/>
        </w:rPr>
      </w:pPr>
      <w:r>
        <w:rPr>
          <w:rFonts w:hint="eastAsia"/>
          <w:szCs w:val="20"/>
          <w:highlight w:val="none"/>
          <w:lang w:val="en-US" w:eastAsia="zh-CN"/>
        </w:rPr>
        <w:t>However, in RAN1#106bis-e meeting, only the multi-slot PDCCH monitoring capability was defined. There are still some issues such as the value of X, the value of Y, and the monitoring capability of Group (1) SS and Group (2) SS that have not been resolved. In the following sections, these issues will be discussed.</w:t>
      </w:r>
    </w:p>
    <w:p>
      <w:pPr>
        <w:rPr>
          <w:rFonts w:hint="eastAsia"/>
          <w:szCs w:val="20"/>
          <w:highlight w:val="none"/>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highlight w:val="none"/>
          <w:lang w:val="en-US" w:eastAsia="zh-CN"/>
        </w:rPr>
      </w:pPr>
      <w:r>
        <w:rPr>
          <w:rFonts w:hint="eastAsia"/>
          <w:highlight w:val="none"/>
          <w:lang w:val="en-US" w:eastAsia="zh-CN"/>
        </w:rPr>
        <w:t>Value of X</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 xml:space="preserve">In RAN1#106-e meeting, it was agreed that the value of X could be 4 and 8 for 480kHz SCS and 960kHz SCS respectively. Other values of X (e.g. X=[1, 2] for 480kHz SCS and X=[1, 2, 4] for 960kHz SCS) have been proposed and discussed in RAN1#106bis-e meeting, </w:t>
      </w:r>
      <w:r>
        <w:rPr>
          <w:rFonts w:hint="eastAsia"/>
          <w:b w:val="0"/>
          <w:bCs/>
          <w:i w:val="0"/>
          <w:iCs/>
          <w:szCs w:val="20"/>
          <w:highlight w:val="none"/>
          <w:lang w:val="en-US" w:eastAsia="zh-CN"/>
        </w:rPr>
        <w:t xml:space="preserve">only X=4 for </w:t>
      </w:r>
      <w:r>
        <w:rPr>
          <w:rFonts w:hint="eastAsia"/>
          <w:b w:val="0"/>
          <w:bCs/>
          <w:i w:val="0"/>
          <w:iCs/>
          <w:szCs w:val="20"/>
          <w:lang w:val="en-US" w:eastAsia="zh-CN"/>
        </w:rPr>
        <w:t xml:space="preserve">960kHz SCS is adopted. A smaller value of X is considered to facilitate access to the channel as soon as possible, when gNB passes LBT. However, for X=1, it means single-slot PDCCH monitoring capability, which is against the spirit of multi-slot PDCCH monitoring capability. Furthermore, with single-slot PDCCH monitoring, the BD/CCE budget is small and high aggregation level like AL 16 may not be available for PDCCH monitoring. Hence, X=1 for 480kHz SCS or X=[1, 2] for 960kHz SCS should not be supported for multi-slot PDCCH monitoring.  </w:t>
      </w:r>
    </w:p>
    <w:p>
      <w:pPr>
        <w:rPr>
          <w:rFonts w:hint="default"/>
          <w:b w:val="0"/>
          <w:bCs/>
          <w:i w:val="0"/>
          <w:iCs/>
          <w:szCs w:val="20"/>
          <w:lang w:val="en-US" w:eastAsia="zh-CN"/>
        </w:rPr>
      </w:pPr>
      <w:r>
        <w:rPr>
          <w:rFonts w:hint="eastAsia"/>
          <w:b w:val="0"/>
          <w:bCs/>
          <w:i w:val="0"/>
          <w:iCs/>
          <w:szCs w:val="20"/>
          <w:lang w:val="en-US" w:eastAsia="zh-CN"/>
        </w:rPr>
        <w:t>The BD/CCE budget is closely related to the values of X in multi-slot PDCCH monitoring. W</w:t>
      </w:r>
      <w:r>
        <w:rPr>
          <w:rFonts w:hint="eastAsia"/>
          <w:szCs w:val="20"/>
          <w:lang w:val="en-US" w:eastAsia="zh-CN"/>
        </w:rPr>
        <w:t xml:space="preserve">hen the value of X can be 4 </w:t>
      </w:r>
      <w:r>
        <w:rPr>
          <w:rFonts w:hint="eastAsia"/>
          <w:b w:val="0"/>
          <w:bCs/>
          <w:i w:val="0"/>
          <w:iCs/>
          <w:szCs w:val="20"/>
          <w:lang w:val="en-US" w:eastAsia="zh-CN"/>
        </w:rPr>
        <w:t xml:space="preserve">or 8 </w:t>
      </w:r>
      <w:r>
        <w:rPr>
          <w:rFonts w:hint="eastAsia"/>
          <w:szCs w:val="20"/>
          <w:lang w:val="en-US" w:eastAsia="zh-CN"/>
        </w:rPr>
        <w:t xml:space="preserve">for </w:t>
      </w:r>
      <w:r>
        <w:rPr>
          <w:rFonts w:hint="eastAsia"/>
          <w:b w:val="0"/>
          <w:bCs/>
          <w:i w:val="0"/>
          <w:iCs/>
          <w:szCs w:val="20"/>
          <w:lang w:val="en-US" w:eastAsia="zh-CN"/>
        </w:rPr>
        <w:t>480kHz SCS or 960kHz SCS respectively, t</w:t>
      </w:r>
      <w:r>
        <w:rPr>
          <w:rFonts w:hint="eastAsia"/>
          <w:szCs w:val="20"/>
          <w:lang w:val="en-US" w:eastAsia="zh-CN"/>
        </w:rPr>
        <w:t xml:space="preserve">he duration of one slot group is equal to that of one slot with 120kHz SCS. In order to maintain the same PDCCH monitoring complexity as in 120kHz SCS, the same maximum number of monitored PDCCH candidates and non-overlapped CCEs can be applied to multi-slot PDCCH monitoring. Regarding X=2 </w:t>
      </w:r>
      <w:r>
        <w:rPr>
          <w:rFonts w:hint="eastAsia"/>
          <w:b w:val="0"/>
          <w:bCs/>
          <w:i w:val="0"/>
          <w:iCs/>
          <w:szCs w:val="20"/>
          <w:lang w:val="en-US" w:eastAsia="zh-CN"/>
        </w:rPr>
        <w:t>for 480kHz SCS or X=4 for 960kHz SCS,</w:t>
      </w:r>
      <w:r>
        <w:rPr>
          <w:rFonts w:hint="eastAsia"/>
          <w:szCs w:val="20"/>
          <w:lang w:val="en-US" w:eastAsia="zh-CN"/>
        </w:rPr>
        <w:t xml:space="preserve"> the maximum number of monitored PDCCH candidates and non-overlapped CCEs can be scaled down to half. </w:t>
      </w:r>
    </w:p>
    <w:p>
      <w:pPr>
        <w:jc w:val="center"/>
        <w:rPr>
          <w:rFonts w:hint="default"/>
          <w:b/>
          <w:bCs/>
          <w:i w:val="0"/>
          <w:iCs/>
          <w:szCs w:val="20"/>
          <w:lang w:val="en-US" w:eastAsia="zh-CN"/>
        </w:rPr>
      </w:pPr>
      <w:bookmarkStart w:id="12" w:name="_Ref78227753"/>
      <w:r>
        <w:rPr>
          <w:b/>
          <w:bCs/>
        </w:rPr>
        <w:t xml:space="preserve">Table </w:t>
      </w:r>
      <w:bookmarkEnd w:id="12"/>
      <w:r>
        <w:rPr>
          <w:rFonts w:hint="eastAsia"/>
          <w:b/>
          <w:bCs/>
          <w:lang w:val="en-US" w:eastAsia="zh-CN"/>
        </w:rPr>
        <w:t>1</w:t>
      </w:r>
      <w:r>
        <w:rPr>
          <w:b/>
          <w:bCs/>
        </w:rPr>
        <w:t xml:space="preserve">. Maximum number </w:t>
      </w:r>
      <m:oMath>
        <m:sSubSup>
          <m:sSubSupPr>
            <m:ctrlPr>
              <w:rPr>
                <w:rFonts w:ascii="Cambria Math" w:hAnsi="Cambria Math"/>
                <w:b/>
                <w:bCs/>
                <w:i/>
                <w:sz w:val="18"/>
                <w:szCs w:val="18"/>
                <w:lang w:eastAsia="zh-CN"/>
              </w:rPr>
            </m:ctrlPr>
          </m:sSubSupPr>
          <m:e>
            <m:r>
              <m:rPr>
                <m:sty m:val="bi"/>
              </m:rPr>
              <w:rPr>
                <w:rFonts w:ascii="Cambria Math" w:hAnsi="Cambria Math"/>
                <w:lang w:eastAsia="zh-CN"/>
              </w:rPr>
              <m:t>M</m:t>
            </m:r>
            <m:ctrlPr>
              <w:rPr>
                <w:rFonts w:ascii="Cambria Math" w:hAnsi="Cambria Math"/>
                <w:b/>
                <w:bCs/>
                <w:i/>
                <w:sz w:val="18"/>
                <w:szCs w:val="18"/>
                <w:lang w:eastAsia="zh-CN"/>
              </w:rPr>
            </m:ctrlPr>
          </m:e>
          <m:sub>
            <m:r>
              <m:rPr>
                <m:sty m:val="b"/>
              </m:rPr>
              <w:rPr>
                <w:rFonts w:ascii="Cambria Math" w:hAnsi="Cambria Math"/>
                <w:lang w:eastAsia="zh-CN"/>
              </w:rPr>
              <m:t>PDCCH</m:t>
            </m:r>
            <m:ctrlPr>
              <w:rPr>
                <w:rFonts w:ascii="Cambria Math" w:hAnsi="Cambria Math"/>
                <w:b/>
                <w:bCs/>
                <w:i/>
                <w:sz w:val="18"/>
                <w:szCs w:val="18"/>
                <w:lang w:eastAsia="zh-CN"/>
              </w:rPr>
            </m:ctrlPr>
          </m:sub>
          <m:sup>
            <m:r>
              <m:rPr>
                <m:sty m:val="bi"/>
              </m:rPr>
              <w:rPr>
                <w:rFonts w:ascii="Cambria Math" w:hAnsi="Cambria Math"/>
                <w:lang w:eastAsia="zh-CN"/>
              </w:rPr>
              <m:t>max,slot,μ</m:t>
            </m:r>
            <m:ctrlPr>
              <w:rPr>
                <w:rFonts w:ascii="Cambria Math" w:hAnsi="Cambria Math"/>
                <w:b/>
                <w:bCs/>
                <w:i/>
                <w:sz w:val="18"/>
                <w:szCs w:val="18"/>
                <w:lang w:eastAsia="zh-CN"/>
              </w:rPr>
            </m:ctrlPr>
          </m:sup>
        </m:sSubSup>
      </m:oMath>
      <w:r>
        <w:rPr>
          <w:b/>
          <w:bCs/>
        </w:rPr>
        <w:t xml:space="preserve"> of monitored PDCCH candidates per</w:t>
      </w:r>
      <w:r>
        <w:rPr>
          <w:b/>
          <w:bCs/>
          <w:color w:val="FF0000"/>
        </w:rPr>
        <w:t xml:space="preserve"> </w:t>
      </w:r>
      <w:r>
        <w:rPr>
          <w:b/>
          <w:bCs/>
          <w:color w:val="auto"/>
        </w:rPr>
        <w:t>X</w:t>
      </w:r>
      <w:r>
        <w:rPr>
          <w:b/>
          <w:bCs/>
        </w:rPr>
        <w:t xml:space="preserve"> slot</w:t>
      </w:r>
      <w:r>
        <w:rPr>
          <w:b/>
          <w:bCs/>
          <w:color w:val="auto"/>
        </w:rPr>
        <w:t>s</w:t>
      </w:r>
      <w:r>
        <w:rPr>
          <w:b/>
          <w:bCs/>
        </w:rPr>
        <w:t xml:space="preserve"> for a DL BWP with SCS configuration</w:t>
      </w:r>
      <w:r>
        <w:rPr>
          <w:rFonts w:hint="eastAsia"/>
          <w:b/>
          <w:bCs/>
          <w:lang w:val="en-US" w:eastAsia="zh-CN"/>
        </w:rPr>
        <w:t xml:space="preserve"> </w:t>
      </w:r>
      <w:r>
        <w:rPr>
          <w:rFonts w:hint="eastAsia"/>
          <w:b/>
          <w:bCs/>
          <w:position w:val="-10"/>
          <w:lang w:val="en-US" w:eastAsia="zh-CN"/>
        </w:rPr>
        <w:object>
          <v:shape id="_x0000_i1025" o:spt="75" type="#_x0000_t75" style="height:17pt;width:4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b/>
          <w:bCs/>
        </w:rPr>
        <w:t xml:space="preserve"> for a single serving cell.</w:t>
      </w:r>
    </w:p>
    <w:tbl>
      <w:tblPr>
        <w:tblStyle w:val="30"/>
        <w:tblW w:w="9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0"/>
        <w:gridCol w:w="2381"/>
        <w:gridCol w:w="2381"/>
        <w:gridCol w:w="236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2380" w:type="dxa"/>
            <w:vMerge w:val="restart"/>
            <w:vAlign w:val="center"/>
          </w:tcPr>
          <w:p>
            <w:pPr>
              <w:pStyle w:val="64"/>
              <w:widowControl w:val="0"/>
              <w:rPr>
                <w:rFonts w:hint="default"/>
                <w:b w:val="0"/>
                <w:bCs/>
                <w:i w:val="0"/>
                <w:iCs/>
                <w:sz w:val="24"/>
                <w:szCs w:val="28"/>
                <w:vertAlign w:val="baseline"/>
                <w:lang w:val="en-US" w:eastAsia="zh-CN"/>
              </w:rPr>
            </w:pPr>
            <m:oMathPara>
              <m:oMath>
                <m:r>
                  <m:rPr>
                    <m:sty m:val="bi"/>
                  </m:rPr>
                  <w:rPr>
                    <w:rFonts w:ascii="Cambria Math" w:hAnsi="Cambria Math"/>
                    <w:sz w:val="24"/>
                    <w:szCs w:val="28"/>
                    <w:lang w:eastAsia="zh-CN"/>
                  </w:rPr>
                  <m:t>μ</m:t>
                </m:r>
              </m:oMath>
            </m:oMathPara>
          </w:p>
        </w:tc>
        <w:tc>
          <w:tcPr>
            <w:tcW w:w="7128" w:type="dxa"/>
            <w:gridSpan w:val="3"/>
            <w:vAlign w:val="center"/>
          </w:tcPr>
          <w:p>
            <w:pPr>
              <w:widowControl w:val="0"/>
              <w:jc w:val="center"/>
              <w:rPr>
                <w:b/>
                <w:bCs/>
              </w:rPr>
            </w:pPr>
            <w:r>
              <w:rPr>
                <w:b/>
                <w:bCs/>
              </w:rPr>
              <w:t xml:space="preserve">Maximum number of monitored PDCCH candidates per </w:t>
            </w:r>
            <w:r>
              <w:rPr>
                <w:b/>
                <w:bCs/>
                <w:color w:val="auto"/>
              </w:rPr>
              <w:t>X</w:t>
            </w:r>
            <w:r>
              <w:rPr>
                <w:b/>
                <w:bCs/>
              </w:rPr>
              <w:t xml:space="preserve"> slot</w:t>
            </w:r>
            <w:r>
              <w:rPr>
                <w:b/>
                <w:bCs/>
                <w:color w:val="auto"/>
              </w:rPr>
              <w:t>s</w:t>
            </w:r>
            <w:r>
              <w:rPr>
                <w:b/>
                <w:bCs/>
              </w:rPr>
              <w:t xml:space="preserve"> and per serving cell </w:t>
            </w:r>
            <m:oMath>
              <m:sSubSup>
                <m:sSubSupPr>
                  <m:ctrlPr>
                    <w:rPr>
                      <w:rFonts w:ascii="Cambria Math" w:hAnsi="Cambria Math"/>
                      <w:b/>
                      <w:bCs/>
                      <w:i/>
                      <w:sz w:val="24"/>
                      <w:szCs w:val="24"/>
                      <w:lang w:eastAsia="zh-CN"/>
                    </w:rPr>
                  </m:ctrlPr>
                </m:sSubSupPr>
                <m:e>
                  <m:r>
                    <m:rPr>
                      <m:sty m:val="bi"/>
                    </m:rPr>
                    <w:rPr>
                      <w:rFonts w:ascii="Cambria Math" w:hAnsi="Cambria Math"/>
                      <w:lang w:eastAsia="zh-CN"/>
                    </w:rPr>
                    <m:t>M</m:t>
                  </m:r>
                  <m:ctrlPr>
                    <w:rPr>
                      <w:rFonts w:ascii="Cambria Math" w:hAnsi="Cambria Math"/>
                      <w:b/>
                      <w:bCs/>
                      <w:i/>
                      <w:sz w:val="24"/>
                      <w:szCs w:val="24"/>
                      <w:lang w:eastAsia="zh-CN"/>
                    </w:rPr>
                  </m:ctrlPr>
                </m:e>
                <m:sub>
                  <m:r>
                    <m:rPr>
                      <m:sty m:val="b"/>
                    </m:rPr>
                    <w:rPr>
                      <w:rFonts w:ascii="Cambria Math" w:hAnsi="Cambria Math"/>
                      <w:lang w:eastAsia="zh-CN"/>
                    </w:rPr>
                    <m:t>PDCCH</m:t>
                  </m:r>
                  <m:ctrlPr>
                    <w:rPr>
                      <w:rFonts w:ascii="Cambria Math" w:hAnsi="Cambria Math"/>
                      <w:b/>
                      <w:bCs/>
                      <w:i/>
                      <w:sz w:val="24"/>
                      <w:szCs w:val="24"/>
                      <w:lang w:eastAsia="zh-CN"/>
                    </w:rPr>
                  </m:ctrlPr>
                </m:sub>
                <m:sup>
                  <m:r>
                    <m:rPr>
                      <m:sty m:val="bi"/>
                    </m:rPr>
                    <w:rPr>
                      <w:rFonts w:ascii="Cambria Math" w:hAnsi="Cambria Math"/>
                      <w:lang w:eastAsia="zh-CN"/>
                    </w:rPr>
                    <m:t>max,slot,μ</m:t>
                  </m:r>
                  <m:ctrlPr>
                    <w:rPr>
                      <w:rFonts w:ascii="Cambria Math" w:hAnsi="Cambria Math"/>
                      <w:b/>
                      <w:bCs/>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vMerge w:val="continue"/>
          </w:tcPr>
          <w:p>
            <w:pPr>
              <w:widowControl w:val="0"/>
              <w:rPr>
                <w:rFonts w:hint="default"/>
                <w:b w:val="0"/>
                <w:bCs/>
                <w:i w:val="0"/>
                <w:iCs/>
                <w:szCs w:val="20"/>
                <w:vertAlign w:val="baseline"/>
                <w:lang w:val="en-US" w:eastAsia="zh-CN"/>
              </w:rPr>
            </w:pPr>
          </w:p>
        </w:tc>
        <w:tc>
          <w:tcPr>
            <w:tcW w:w="2381" w:type="dxa"/>
          </w:tcPr>
          <w:p>
            <w:pPr>
              <w:widowControl w:val="0"/>
              <w:jc w:val="center"/>
              <w:rPr>
                <w:rFonts w:hint="default"/>
                <w:b/>
                <w:bCs w:val="0"/>
                <w:i w:val="0"/>
                <w:iCs/>
                <w:szCs w:val="20"/>
                <w:vertAlign w:val="baseline"/>
                <w:lang w:val="en-US" w:eastAsia="zh-CN"/>
              </w:rPr>
            </w:pPr>
            <w:r>
              <w:rPr>
                <w:rFonts w:hint="eastAsia"/>
                <w:b/>
                <w:bCs w:val="0"/>
                <w:i w:val="0"/>
                <w:iCs/>
                <w:szCs w:val="20"/>
                <w:vertAlign w:val="baseline"/>
                <w:lang w:val="en-US" w:eastAsia="zh-CN"/>
              </w:rPr>
              <w:t>X=2</w:t>
            </w:r>
          </w:p>
        </w:tc>
        <w:tc>
          <w:tcPr>
            <w:tcW w:w="2381" w:type="dxa"/>
          </w:tcPr>
          <w:p>
            <w:pPr>
              <w:widowControl w:val="0"/>
              <w:jc w:val="center"/>
              <w:rPr>
                <w:rFonts w:hint="default"/>
                <w:b/>
                <w:bCs w:val="0"/>
                <w:i w:val="0"/>
                <w:iCs/>
                <w:szCs w:val="20"/>
                <w:vertAlign w:val="baseline"/>
                <w:lang w:val="en-US" w:eastAsia="zh-CN"/>
              </w:rPr>
            </w:pPr>
            <w:r>
              <w:rPr>
                <w:rFonts w:hint="eastAsia"/>
                <w:b/>
                <w:bCs w:val="0"/>
                <w:i w:val="0"/>
                <w:iCs/>
                <w:szCs w:val="20"/>
                <w:vertAlign w:val="baseline"/>
                <w:lang w:val="en-US" w:eastAsia="zh-CN"/>
              </w:rPr>
              <w:t>X=4</w:t>
            </w:r>
          </w:p>
        </w:tc>
        <w:tc>
          <w:tcPr>
            <w:tcW w:w="2367" w:type="dxa"/>
            <w:gridSpan w:val="2"/>
          </w:tcPr>
          <w:p>
            <w:pPr>
              <w:widowControl w:val="0"/>
              <w:jc w:val="center"/>
              <w:rPr>
                <w:rFonts w:hint="default"/>
                <w:b/>
                <w:bCs w:val="0"/>
                <w:i w:val="0"/>
                <w:iCs/>
                <w:szCs w:val="20"/>
                <w:vertAlign w:val="baseline"/>
                <w:lang w:val="en-US" w:eastAsia="zh-CN"/>
              </w:rPr>
            </w:pPr>
            <w:r>
              <w:rPr>
                <w:rFonts w:hint="eastAsia"/>
                <w:b/>
                <w:bCs w:val="0"/>
                <w:i w:val="0"/>
                <w:iCs/>
                <w:szCs w:val="20"/>
                <w:vertAlign w:val="baseline"/>
                <w:lang w:val="en-US" w:eastAsia="zh-CN"/>
              </w:rPr>
              <w:t>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5</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10</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20</w:t>
            </w:r>
          </w:p>
        </w:tc>
        <w:tc>
          <w:tcPr>
            <w:tcW w:w="2367" w:type="dxa"/>
            <w:gridSpan w:val="2"/>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6</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10</w:t>
            </w:r>
          </w:p>
        </w:tc>
        <w:tc>
          <w:tcPr>
            <w:tcW w:w="2367" w:type="dxa"/>
            <w:gridSpan w:val="2"/>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20</w:t>
            </w:r>
          </w:p>
        </w:tc>
      </w:tr>
    </w:tbl>
    <w:p>
      <w:pPr>
        <w:rPr>
          <w:rFonts w:hint="default"/>
          <w:b w:val="0"/>
          <w:bCs/>
          <w:i w:val="0"/>
          <w:iCs/>
          <w:szCs w:val="20"/>
          <w:lang w:val="en-US" w:eastAsia="zh-CN"/>
        </w:rPr>
      </w:pPr>
    </w:p>
    <w:p>
      <w:pPr>
        <w:jc w:val="center"/>
        <w:rPr>
          <w:rFonts w:hint="default"/>
          <w:b/>
          <w:bCs/>
          <w:i w:val="0"/>
          <w:iCs/>
          <w:szCs w:val="20"/>
          <w:lang w:val="en-US" w:eastAsia="zh-CN"/>
        </w:rPr>
      </w:pPr>
      <w:bookmarkStart w:id="13" w:name="_Ref78227760"/>
      <w:r>
        <w:rPr>
          <w:b/>
          <w:bCs/>
        </w:rPr>
        <w:t xml:space="preserve">Table </w:t>
      </w:r>
      <w:bookmarkEnd w:id="13"/>
      <w:r>
        <w:rPr>
          <w:rFonts w:hint="eastAsia"/>
          <w:b/>
          <w:bCs/>
          <w:lang w:val="en-US" w:eastAsia="zh-CN"/>
        </w:rPr>
        <w:t>2</w:t>
      </w:r>
      <w:r>
        <w:rPr>
          <w:b/>
          <w:bCs/>
        </w:rPr>
        <w:t xml:space="preserve">. Maximum number </w:t>
      </w:r>
      <m:oMath>
        <m:sSubSup>
          <m:sSubSupPr>
            <m:ctrlPr>
              <w:rPr>
                <w:rFonts w:ascii="Cambria Math" w:hAnsi="Cambria Math"/>
                <w:b/>
                <w:bCs/>
                <w:i/>
                <w:sz w:val="18"/>
                <w:szCs w:val="18"/>
                <w:lang w:eastAsia="zh-CN"/>
              </w:rPr>
            </m:ctrlPr>
          </m:sSubSupPr>
          <m:e>
            <m:r>
              <m:rPr>
                <m:sty m:val="bi"/>
              </m:rPr>
              <w:rPr>
                <w:rFonts w:ascii="Cambria Math" w:hAnsi="Cambria Math"/>
                <w:lang w:eastAsia="zh-CN"/>
              </w:rPr>
              <m:t>C</m:t>
            </m:r>
            <m:ctrlPr>
              <w:rPr>
                <w:rFonts w:ascii="Cambria Math" w:hAnsi="Cambria Math"/>
                <w:b/>
                <w:bCs/>
                <w:i/>
                <w:sz w:val="18"/>
                <w:szCs w:val="18"/>
                <w:lang w:eastAsia="zh-CN"/>
              </w:rPr>
            </m:ctrlPr>
          </m:e>
          <m:sub>
            <m:r>
              <m:rPr>
                <m:sty m:val="b"/>
              </m:rPr>
              <w:rPr>
                <w:rFonts w:ascii="Cambria Math" w:hAnsi="Cambria Math"/>
                <w:lang w:eastAsia="zh-CN"/>
              </w:rPr>
              <m:t>PDCCH</m:t>
            </m:r>
            <m:ctrlPr>
              <w:rPr>
                <w:rFonts w:ascii="Cambria Math" w:hAnsi="Cambria Math"/>
                <w:b/>
                <w:bCs/>
                <w:i/>
                <w:sz w:val="18"/>
                <w:szCs w:val="18"/>
                <w:lang w:eastAsia="zh-CN"/>
              </w:rPr>
            </m:ctrlPr>
          </m:sub>
          <m:sup>
            <m:r>
              <m:rPr>
                <m:sty m:val="bi"/>
              </m:rPr>
              <w:rPr>
                <w:rFonts w:ascii="Cambria Math" w:hAnsi="Cambria Math"/>
                <w:lang w:eastAsia="zh-CN"/>
              </w:rPr>
              <m:t>max,slot,μ</m:t>
            </m:r>
            <m:ctrlPr>
              <w:rPr>
                <w:rFonts w:ascii="Cambria Math" w:hAnsi="Cambria Math"/>
                <w:b/>
                <w:bCs/>
                <w:i/>
                <w:sz w:val="18"/>
                <w:szCs w:val="18"/>
                <w:lang w:eastAsia="zh-CN"/>
              </w:rPr>
            </m:ctrlPr>
          </m:sup>
        </m:sSubSup>
      </m:oMath>
      <w:r>
        <w:rPr>
          <w:b/>
          <w:bCs/>
        </w:rPr>
        <w:t xml:space="preserve"> of non-overlapped CCEs per </w:t>
      </w:r>
      <w:r>
        <w:rPr>
          <w:b/>
          <w:bCs/>
          <w:color w:val="auto"/>
        </w:rPr>
        <w:t>X</w:t>
      </w:r>
      <w:r>
        <w:rPr>
          <w:b/>
          <w:bCs/>
        </w:rPr>
        <w:t xml:space="preserve"> slot</w:t>
      </w:r>
      <w:r>
        <w:rPr>
          <w:b/>
          <w:bCs/>
          <w:color w:val="auto"/>
        </w:rPr>
        <w:t>s</w:t>
      </w:r>
      <w:r>
        <w:rPr>
          <w:b/>
          <w:bCs/>
        </w:rPr>
        <w:t xml:space="preserve"> for a DL BWP with SCS configuration </w:t>
      </w:r>
      <w:r>
        <w:rPr>
          <w:rFonts w:hint="eastAsia"/>
          <w:b/>
          <w:bCs/>
          <w:position w:val="-10"/>
          <w:lang w:val="en-US" w:eastAsia="zh-CN"/>
        </w:rPr>
        <w:object>
          <v:shape id="_x0000_i1026" o:spt="75" type="#_x0000_t75" style="height:17pt;width:45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6" r:id="rId6">
            <o:LockedField>false</o:LockedField>
          </o:OLEObject>
        </w:object>
      </w:r>
      <w:r>
        <w:rPr>
          <w:b/>
          <w:bCs/>
        </w:rPr>
        <w:t xml:space="preserve"> for a single serving cell.</w:t>
      </w:r>
    </w:p>
    <w:tbl>
      <w:tblPr>
        <w:tblStyle w:val="30"/>
        <w:tblW w:w="9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0"/>
        <w:gridCol w:w="2381"/>
        <w:gridCol w:w="2381"/>
        <w:gridCol w:w="236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2380" w:type="dxa"/>
            <w:vMerge w:val="restart"/>
            <w:vAlign w:val="center"/>
          </w:tcPr>
          <w:p>
            <w:pPr>
              <w:pStyle w:val="64"/>
              <w:widowControl w:val="0"/>
              <w:rPr>
                <w:rFonts w:hint="default"/>
                <w:b w:val="0"/>
                <w:bCs/>
                <w:i w:val="0"/>
                <w:iCs/>
                <w:sz w:val="24"/>
                <w:szCs w:val="28"/>
                <w:vertAlign w:val="baseline"/>
                <w:lang w:val="en-US" w:eastAsia="zh-CN"/>
              </w:rPr>
            </w:pPr>
            <m:oMathPara>
              <m:oMath>
                <m:r>
                  <m:rPr>
                    <m:sty m:val="bi"/>
                  </m:rPr>
                  <w:rPr>
                    <w:rFonts w:ascii="Cambria Math" w:hAnsi="Cambria Math"/>
                    <w:sz w:val="24"/>
                    <w:szCs w:val="28"/>
                    <w:lang w:eastAsia="zh-CN"/>
                  </w:rPr>
                  <m:t>μ</m:t>
                </m:r>
              </m:oMath>
            </m:oMathPara>
          </w:p>
        </w:tc>
        <w:tc>
          <w:tcPr>
            <w:tcW w:w="7128" w:type="dxa"/>
            <w:gridSpan w:val="3"/>
            <w:vAlign w:val="center"/>
          </w:tcPr>
          <w:p>
            <w:pPr>
              <w:widowControl w:val="0"/>
              <w:jc w:val="center"/>
              <w:rPr>
                <w:b/>
                <w:bCs/>
              </w:rPr>
            </w:pPr>
            <w:r>
              <w:rPr>
                <w:b/>
                <w:bCs/>
              </w:rPr>
              <w:t xml:space="preserve">Maximum number of </w:t>
            </w:r>
            <w:r>
              <w:rPr>
                <w:rFonts w:hint="eastAsia"/>
                <w:b/>
                <w:bCs/>
                <w:lang w:val="en-US" w:eastAsia="zh-CN"/>
              </w:rPr>
              <w:t>non-overlapped CCEs</w:t>
            </w:r>
            <w:r>
              <w:rPr>
                <w:b/>
                <w:bCs/>
              </w:rPr>
              <w:t xml:space="preserve"> per </w:t>
            </w:r>
            <w:r>
              <w:rPr>
                <w:b/>
                <w:bCs/>
                <w:color w:val="auto"/>
              </w:rPr>
              <w:t>X</w:t>
            </w:r>
            <w:r>
              <w:rPr>
                <w:b/>
                <w:bCs/>
              </w:rPr>
              <w:t xml:space="preserve"> slot</w:t>
            </w:r>
            <w:r>
              <w:rPr>
                <w:b/>
                <w:bCs/>
                <w:color w:val="auto"/>
              </w:rPr>
              <w:t>s</w:t>
            </w:r>
            <w:r>
              <w:rPr>
                <w:b/>
                <w:bCs/>
              </w:rP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vMerge w:val="continue"/>
          </w:tcPr>
          <w:p>
            <w:pPr>
              <w:widowControl w:val="0"/>
              <w:rPr>
                <w:rFonts w:hint="default"/>
                <w:b w:val="0"/>
                <w:bCs/>
                <w:i w:val="0"/>
                <w:iCs/>
                <w:szCs w:val="20"/>
                <w:vertAlign w:val="baseline"/>
                <w:lang w:val="en-US" w:eastAsia="zh-CN"/>
              </w:rPr>
            </w:pPr>
          </w:p>
        </w:tc>
        <w:tc>
          <w:tcPr>
            <w:tcW w:w="2381" w:type="dxa"/>
          </w:tcPr>
          <w:p>
            <w:pPr>
              <w:widowControl w:val="0"/>
              <w:jc w:val="center"/>
              <w:rPr>
                <w:rFonts w:hint="default"/>
                <w:b/>
                <w:bCs w:val="0"/>
                <w:i w:val="0"/>
                <w:iCs/>
                <w:szCs w:val="20"/>
                <w:vertAlign w:val="baseline"/>
                <w:lang w:val="en-US" w:eastAsia="zh-CN"/>
              </w:rPr>
            </w:pPr>
            <w:r>
              <w:rPr>
                <w:rFonts w:hint="eastAsia"/>
                <w:b/>
                <w:bCs w:val="0"/>
                <w:i w:val="0"/>
                <w:iCs/>
                <w:szCs w:val="20"/>
                <w:vertAlign w:val="baseline"/>
                <w:lang w:val="en-US" w:eastAsia="zh-CN"/>
              </w:rPr>
              <w:t>X=2</w:t>
            </w:r>
          </w:p>
        </w:tc>
        <w:tc>
          <w:tcPr>
            <w:tcW w:w="2381" w:type="dxa"/>
          </w:tcPr>
          <w:p>
            <w:pPr>
              <w:widowControl w:val="0"/>
              <w:jc w:val="center"/>
              <w:rPr>
                <w:rFonts w:hint="default"/>
                <w:b/>
                <w:bCs w:val="0"/>
                <w:i w:val="0"/>
                <w:iCs/>
                <w:szCs w:val="20"/>
                <w:vertAlign w:val="baseline"/>
                <w:lang w:val="en-US" w:eastAsia="zh-CN"/>
              </w:rPr>
            </w:pPr>
            <w:r>
              <w:rPr>
                <w:rFonts w:hint="eastAsia"/>
                <w:b/>
                <w:bCs w:val="0"/>
                <w:i w:val="0"/>
                <w:iCs/>
                <w:szCs w:val="20"/>
                <w:vertAlign w:val="baseline"/>
                <w:lang w:val="en-US" w:eastAsia="zh-CN"/>
              </w:rPr>
              <w:t>X=4</w:t>
            </w:r>
          </w:p>
        </w:tc>
        <w:tc>
          <w:tcPr>
            <w:tcW w:w="2367" w:type="dxa"/>
            <w:gridSpan w:val="2"/>
          </w:tcPr>
          <w:p>
            <w:pPr>
              <w:widowControl w:val="0"/>
              <w:jc w:val="center"/>
              <w:rPr>
                <w:rFonts w:hint="default"/>
                <w:b/>
                <w:bCs w:val="0"/>
                <w:i w:val="0"/>
                <w:iCs/>
                <w:szCs w:val="20"/>
                <w:vertAlign w:val="baseline"/>
                <w:lang w:val="en-US" w:eastAsia="zh-CN"/>
              </w:rPr>
            </w:pPr>
            <w:r>
              <w:rPr>
                <w:rFonts w:hint="eastAsia"/>
                <w:b/>
                <w:bCs w:val="0"/>
                <w:i w:val="0"/>
                <w:iCs/>
                <w:szCs w:val="20"/>
                <w:vertAlign w:val="baseline"/>
                <w:lang w:val="en-US" w:eastAsia="zh-CN"/>
              </w:rPr>
              <w:t>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5</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16</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32</w:t>
            </w:r>
          </w:p>
        </w:tc>
        <w:tc>
          <w:tcPr>
            <w:tcW w:w="2367" w:type="dxa"/>
            <w:gridSpan w:val="2"/>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6</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c>
          <w:tcPr>
            <w:tcW w:w="2381" w:type="dxa"/>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16</w:t>
            </w:r>
          </w:p>
        </w:tc>
        <w:tc>
          <w:tcPr>
            <w:tcW w:w="2367" w:type="dxa"/>
            <w:gridSpan w:val="2"/>
          </w:tcPr>
          <w:p>
            <w:pPr>
              <w:widowControl w:val="0"/>
              <w:jc w:val="center"/>
              <w:rPr>
                <w:rFonts w:hint="default"/>
                <w:b w:val="0"/>
                <w:bCs/>
                <w:i w:val="0"/>
                <w:iCs/>
                <w:szCs w:val="20"/>
                <w:vertAlign w:val="baseline"/>
                <w:lang w:val="en-US" w:eastAsia="zh-CN"/>
              </w:rPr>
            </w:pPr>
            <w:r>
              <w:rPr>
                <w:rFonts w:hint="eastAsia"/>
                <w:b w:val="0"/>
                <w:bCs/>
                <w:i w:val="0"/>
                <w:iCs/>
                <w:szCs w:val="20"/>
                <w:vertAlign w:val="baseline"/>
                <w:lang w:val="en-US" w:eastAsia="zh-CN"/>
              </w:rPr>
              <w:t>32</w:t>
            </w:r>
          </w:p>
        </w:tc>
      </w:tr>
    </w:tbl>
    <w:p>
      <w:pPr>
        <w:rPr>
          <w:rFonts w:hint="default"/>
          <w:b w:val="0"/>
          <w:bCs/>
          <w:i w:val="0"/>
          <w:iCs/>
          <w:szCs w:val="20"/>
          <w:lang w:val="en-US" w:eastAsia="zh-CN"/>
        </w:rPr>
      </w:pPr>
    </w:p>
    <w:p>
      <w:pPr>
        <w:rPr>
          <w:rFonts w:hint="eastAsia"/>
          <w:b/>
          <w:i/>
          <w:szCs w:val="20"/>
          <w:lang w:val="en-US" w:eastAsia="zh-CN"/>
        </w:rPr>
      </w:pPr>
      <w:r>
        <w:rPr>
          <w:rFonts w:hint="eastAsia"/>
          <w:b/>
          <w:i/>
          <w:szCs w:val="20"/>
          <w:lang w:val="en-US" w:eastAsia="zh-CN"/>
        </w:rPr>
        <w:t>Proposal 1: Additional values of X could be 2 for 480kHz SCS and 4 for 960kHz SCS respectively for multi-slot PDCCH monitoring.</w:t>
      </w:r>
    </w:p>
    <w:p>
      <w:pPr>
        <w:rPr>
          <w:rFonts w:hint="default"/>
          <w:b w:val="0"/>
          <w:bCs/>
          <w:i w:val="0"/>
          <w:iCs/>
          <w:szCs w:val="20"/>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highlight w:val="none"/>
          <w:lang w:val="en-US" w:eastAsia="zh-CN"/>
        </w:rPr>
      </w:pPr>
      <w:r>
        <w:rPr>
          <w:rFonts w:hint="eastAsia"/>
          <w:highlight w:val="none"/>
          <w:lang w:val="en-US" w:eastAsia="zh-CN"/>
        </w:rPr>
        <w:t>Definition of monitoring capability</w:t>
      </w:r>
    </w:p>
    <w:p>
      <w:pPr>
        <w:pStyle w:val="16"/>
        <w:spacing w:after="0"/>
        <w:rPr>
          <w:sz w:val="22"/>
          <w:szCs w:val="22"/>
          <w:highlight w:val="none"/>
        </w:rPr>
      </w:pPr>
      <w:r>
        <w:rPr>
          <w:rFonts w:hint="eastAsia"/>
          <w:sz w:val="22"/>
          <w:szCs w:val="22"/>
          <w:highlight w:val="none"/>
          <w:lang w:val="en-US" w:eastAsia="zh-CN"/>
        </w:rPr>
        <w:t>According to t</w:t>
      </w:r>
      <w:r>
        <w:rPr>
          <w:sz w:val="22"/>
          <w:szCs w:val="22"/>
          <w:highlight w:val="none"/>
        </w:rPr>
        <w:t xml:space="preserve">he </w:t>
      </w:r>
      <w:r>
        <w:rPr>
          <w:rFonts w:hint="eastAsia"/>
          <w:sz w:val="22"/>
          <w:szCs w:val="22"/>
          <w:highlight w:val="none"/>
          <w:lang w:val="en-US" w:eastAsia="zh-CN"/>
        </w:rPr>
        <w:t xml:space="preserve">revised WID [3], in addition to 120kHz SSB, 480kHz SSB for initial access had been introduced with the limitation of supporting only 480kHz CORESET#0/Type0-PDSCH SCS. The </w:t>
      </w:r>
      <w:r>
        <w:rPr>
          <w:sz w:val="22"/>
          <w:szCs w:val="22"/>
          <w:highlight w:val="none"/>
        </w:rPr>
        <w:t xml:space="preserve">following </w:t>
      </w:r>
      <w:r>
        <w:rPr>
          <w:rFonts w:hint="eastAsia"/>
          <w:sz w:val="22"/>
          <w:szCs w:val="22"/>
          <w:highlight w:val="none"/>
          <w:lang w:val="en-US" w:eastAsia="zh-CN"/>
        </w:rPr>
        <w:t>lists the SSB related part in revised WID</w:t>
      </w:r>
      <w:r>
        <w:rPr>
          <w:sz w:val="22"/>
          <w:szCs w:val="22"/>
          <w:highlight w:val="none"/>
        </w:rPr>
        <w:t>:</w:t>
      </w:r>
    </w:p>
    <w:tbl>
      <w:tblPr>
        <w:tblStyle w:val="30"/>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pStyle w:val="65"/>
              <w:widowControl w:val="0"/>
              <w:numPr>
                <w:ilvl w:val="0"/>
                <w:numId w:val="10"/>
              </w:numPr>
              <w:spacing w:before="180"/>
              <w:ind w:left="300" w:leftChars="0" w:hanging="360" w:firstLineChars="0"/>
              <w:rPr>
                <w:highlight w:val="none"/>
                <w:lang w:eastAsia="zh-CN"/>
              </w:rPr>
            </w:pPr>
            <w:r>
              <w:rPr>
                <w:highlight w:val="none"/>
                <w:lang w:eastAsia="zh-CN"/>
              </w:rPr>
              <w:t>In addition to 120kHz, support 480 kHz SSB for initial access with support of CORESET#0/Type0-PDCCH configuration in the MIB with following constraints:</w:t>
            </w:r>
          </w:p>
          <w:p>
            <w:pPr>
              <w:pStyle w:val="65"/>
              <w:widowControl w:val="0"/>
              <w:numPr>
                <w:ilvl w:val="1"/>
                <w:numId w:val="10"/>
              </w:numPr>
              <w:spacing w:before="180"/>
              <w:ind w:left="1020" w:leftChars="0" w:hanging="360" w:firstLineChars="0"/>
              <w:rPr>
                <w:highlight w:val="none"/>
                <w:lang w:eastAsia="zh-CN"/>
              </w:rPr>
            </w:pPr>
            <w:r>
              <w:rPr>
                <w:highlight w:val="none"/>
                <w:lang w:eastAsia="zh-CN"/>
              </w:rPr>
              <w:t>Limited sync raster entry numbers</w:t>
            </w:r>
          </w:p>
          <w:p>
            <w:pPr>
              <w:pStyle w:val="65"/>
              <w:widowControl w:val="0"/>
              <w:numPr>
                <w:ilvl w:val="2"/>
                <w:numId w:val="10"/>
              </w:numPr>
              <w:spacing w:before="180"/>
              <w:ind w:left="1740" w:leftChars="0" w:hanging="360" w:firstLineChars="0"/>
              <w:rPr>
                <w:highlight w:val="none"/>
                <w:lang w:eastAsia="zh-CN"/>
              </w:rPr>
            </w:pPr>
            <w:r>
              <w:rPr>
                <w:highlight w:val="none"/>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pPr>
              <w:pStyle w:val="65"/>
              <w:widowControl w:val="0"/>
              <w:numPr>
                <w:ilvl w:val="1"/>
                <w:numId w:val="10"/>
              </w:numPr>
              <w:spacing w:before="180"/>
              <w:ind w:left="1020" w:leftChars="0" w:hanging="360" w:firstLineChars="0"/>
              <w:rPr>
                <w:highlight w:val="none"/>
                <w:lang w:eastAsia="zh-CN"/>
              </w:rPr>
            </w:pPr>
            <w:r>
              <w:rPr>
                <w:highlight w:val="none"/>
                <w:lang w:eastAsia="zh-CN"/>
              </w:rPr>
              <w:t>only 480kHz CORESET#0/Type0-PDCCH SCS supported for 480 kHz SSB SCS.</w:t>
            </w:r>
          </w:p>
          <w:p>
            <w:pPr>
              <w:pStyle w:val="65"/>
              <w:widowControl w:val="0"/>
              <w:numPr>
                <w:ilvl w:val="1"/>
                <w:numId w:val="10"/>
              </w:numPr>
              <w:spacing w:before="180"/>
              <w:ind w:left="1020" w:leftChars="0" w:hanging="360" w:firstLineChars="0"/>
              <w:rPr>
                <w:highlight w:val="none"/>
                <w:lang w:eastAsia="zh-CN"/>
              </w:rPr>
            </w:pPr>
            <w:r>
              <w:rPr>
                <w:highlight w:val="none"/>
                <w:lang w:eastAsia="zh-CN"/>
              </w:rPr>
              <w:t>Prioritize support SSB-CORESET#0 multiplexing pattern 1. Other patterns discussed on a best effort basis.</w:t>
            </w:r>
          </w:p>
          <w:p>
            <w:pPr>
              <w:pStyle w:val="65"/>
              <w:widowControl w:val="0"/>
              <w:numPr>
                <w:ilvl w:val="1"/>
                <w:numId w:val="10"/>
              </w:numPr>
              <w:spacing w:before="180"/>
              <w:ind w:left="1020" w:leftChars="0" w:hanging="360" w:firstLineChars="0"/>
              <w:rPr>
                <w:highlight w:val="none"/>
                <w:lang w:eastAsia="zh-CN"/>
              </w:rPr>
            </w:pPr>
            <w:r>
              <w:rPr>
                <w:highlight w:val="none"/>
                <w:lang w:eastAsia="zh-CN"/>
              </w:rPr>
              <w:t>960 kHz numerology for the SSB is not supported by the UE for initial access in Rel-17.</w:t>
            </w:r>
          </w:p>
          <w:p>
            <w:pPr>
              <w:pStyle w:val="65"/>
              <w:widowControl w:val="0"/>
              <w:numPr>
                <w:ilvl w:val="1"/>
                <w:numId w:val="10"/>
              </w:numPr>
              <w:spacing w:before="180"/>
              <w:ind w:left="1020" w:leftChars="0" w:hanging="360" w:firstLineChars="0"/>
              <w:rPr>
                <w:highlight w:val="none"/>
                <w:lang w:eastAsia="zh-CN"/>
              </w:rPr>
            </w:pPr>
            <w:r>
              <w:rPr>
                <w:highlight w:val="none"/>
                <w:lang w:eastAsia="zh-CN"/>
              </w:rPr>
              <w:t>Note: Strive to minimize specification impact by reusing tables for CORESET#0 and type0-PDCCH CSS set configuration defined for FR2 in Rel-15, as much as possible</w:t>
            </w:r>
          </w:p>
          <w:p>
            <w:pPr>
              <w:pStyle w:val="65"/>
              <w:widowControl w:val="0"/>
              <w:numPr>
                <w:ilvl w:val="1"/>
                <w:numId w:val="10"/>
              </w:numPr>
              <w:spacing w:before="180"/>
              <w:ind w:left="1020" w:leftChars="0" w:hanging="360" w:firstLineChars="0"/>
              <w:rPr>
                <w:highlight w:val="none"/>
                <w:lang w:eastAsia="zh-CN"/>
              </w:rPr>
            </w:pPr>
            <w:r>
              <w:rPr>
                <w:highlight w:val="none"/>
                <w:lang w:eastAsia="zh-CN"/>
              </w:rPr>
              <w:t>Note: 480 kHz is an optional SSB numerology for initial access for the UE. A UE supporting a band in 52.6-71 GHz must at least support 120 kHz SCS (for initial access and after initial access)</w:t>
            </w:r>
          </w:p>
          <w:p>
            <w:pPr>
              <w:pStyle w:val="65"/>
              <w:widowControl w:val="0"/>
              <w:numPr>
                <w:ilvl w:val="1"/>
                <w:numId w:val="10"/>
              </w:numPr>
              <w:spacing w:before="180"/>
              <w:ind w:left="1020" w:leftChars="0" w:hanging="360" w:firstLineChars="0"/>
              <w:rPr>
                <w:rFonts w:eastAsia="Times New Roman" w:cs="Times"/>
                <w:szCs w:val="20"/>
                <w:highlight w:val="none"/>
              </w:rPr>
            </w:pPr>
            <w:r>
              <w:rPr>
                <w:highlight w:val="none"/>
                <w:lang w:eastAsia="zh-CN"/>
              </w:rPr>
              <w:t>Note: Dependency or lack thereof for a UE supporting 480kHz and/or 960kHz numerology for data and control to also support 480kHz SSB numerology for initial access is to be tackled as part of UE capability discussion.</w:t>
            </w:r>
          </w:p>
        </w:tc>
      </w:tr>
    </w:tbl>
    <w:p>
      <w:pPr>
        <w:pStyle w:val="16"/>
        <w:spacing w:after="0"/>
        <w:rPr>
          <w:highlight w:val="none"/>
        </w:rPr>
      </w:pPr>
    </w:p>
    <w:p>
      <w:pPr>
        <w:rPr>
          <w:rFonts w:hint="eastAsia" w:eastAsia="宋体"/>
          <w:highlight w:val="none"/>
          <w:lang w:val="en-US" w:eastAsia="zh-CN"/>
        </w:rPr>
      </w:pPr>
      <w:r>
        <w:rPr>
          <w:rFonts w:hint="eastAsia" w:eastAsia="宋体"/>
          <w:highlight w:val="none"/>
          <w:lang w:val="en-US" w:eastAsia="zh-CN"/>
        </w:rPr>
        <w:t xml:space="preserve">Furthermore, for ANR and PCI confusion detection, only one CORESET#0/Type0-PDCCH SCS is supported for each SSB SCS, i.e., (120, 120), (480, 480) and (960, 960). </w:t>
      </w:r>
    </w:p>
    <w:p>
      <w:pPr>
        <w:jc w:val="both"/>
        <w:rPr>
          <w:rFonts w:hint="eastAsia" w:eastAsia="宋体"/>
          <w:lang w:val="en-US" w:eastAsia="zh-CN"/>
        </w:rPr>
      </w:pPr>
      <w:r>
        <w:rPr>
          <w:rFonts w:hint="eastAsia" w:eastAsia="宋体"/>
          <w:lang w:val="en-US" w:eastAsia="zh-CN"/>
        </w:rPr>
        <w:t>Based on the above conclusions, the multi-slot PDCCH monitoring capability of Group (2) SS (such as CORESET#0/Type0-PDCCH CSS) needs to be solved. For SS/PBCH block and CORESET#0 multiplexing pattern 1, the PDCCH monitoring occasions are located within two consecutive slots which are associated with the SS/PBCH block. However, when the UE changes SS/PBCH block it tracks due to mobility, the relevant PDCCH monitoring occasions may be outside the Y</w:t>
      </w:r>
      <w:r>
        <w:rPr>
          <w:rFonts w:hint="eastAsia" w:eastAsia="宋体"/>
          <w:vertAlign w:val="subscript"/>
          <w:lang w:val="en-US" w:eastAsia="zh-CN"/>
        </w:rPr>
        <w:t>Group1</w:t>
      </w:r>
      <w:r>
        <w:rPr>
          <w:rFonts w:hint="eastAsia" w:eastAsia="宋体"/>
          <w:lang w:val="en-US" w:eastAsia="zh-CN"/>
        </w:rPr>
        <w:t xml:space="preserve"> consecutive slots, which will affect the monitoring capability of the UE. In order to keep the PDCCH monitoring occasions of Group (1) SS overlapping or adjacent to the PDCCH monitoring occasions of Group (2) SS, the same time offset to the slot group boundary should be used for the PDCCH monitoring occasions of Group (1) SS, when UE changes the monitoring occasions of Group (2) SS based on the slot index of n0. In the current specification, the monitoring occasion of Group (2) SS is switched by the MAC CE activation command to indicate a new TCI state. Therefore, a new procedure should be specified to allow the monitoring occasion of Group (1) SS to shift in the time domain  based on reception of the MAC CE activation command within an slot group. One way to achieve this is to configure a separate time offset for Group (1) SS associated with corresponding TCI state. </w:t>
      </w:r>
    </w:p>
    <w:p>
      <w:pPr>
        <w:rPr>
          <w:rFonts w:hint="eastAsia" w:eastAsia="宋体"/>
          <w:b/>
          <w:bCs/>
          <w:i/>
          <w:iCs/>
          <w:lang w:val="en-US" w:eastAsia="zh-CN"/>
        </w:rPr>
      </w:pPr>
      <w:r>
        <w:rPr>
          <w:rFonts w:hint="eastAsia" w:eastAsia="宋体"/>
          <w:b/>
          <w:bCs/>
          <w:i/>
          <w:iCs/>
          <w:lang w:val="en-US" w:eastAsia="zh-CN"/>
        </w:rPr>
        <w:t>Proposal 2: The monitoring occasions of Group (1) SS should overlap or be adjacent to the monitoring occasions of Group (2) SS within a slot group.</w:t>
      </w:r>
    </w:p>
    <w:p>
      <w:pPr>
        <w:rPr>
          <w:rFonts w:hint="default" w:eastAsia="宋体"/>
          <w:b/>
          <w:bCs/>
          <w:i/>
          <w:iCs/>
          <w:lang w:val="en-US" w:eastAsia="zh-CN"/>
        </w:rPr>
      </w:pPr>
      <w:r>
        <w:rPr>
          <w:rFonts w:hint="eastAsia" w:eastAsia="宋体"/>
          <w:b/>
          <w:bCs/>
          <w:i/>
          <w:iCs/>
          <w:lang w:val="en-US" w:eastAsia="zh-CN"/>
        </w:rPr>
        <w:t>Proposal 3: The monitoring occasions of Group (1) SS should be switched, when the monitoring occasions of Group (2) SS is changed based on the n0 slot index.</w:t>
      </w:r>
    </w:p>
    <w:p>
      <w:pPr>
        <w:rPr>
          <w:b/>
          <w:i/>
          <w:szCs w:val="20"/>
          <w:lang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highlight w:val="none"/>
          <w:lang w:val="en-US" w:eastAsia="zh-CN"/>
        </w:rPr>
      </w:pPr>
      <w:r>
        <w:rPr>
          <w:rFonts w:hint="eastAsia"/>
          <w:highlight w:val="none"/>
          <w:lang w:val="en-US" w:eastAsia="zh-CN"/>
        </w:rPr>
        <w:t>Value of Y</w:t>
      </w:r>
    </w:p>
    <w:tbl>
      <w:tblPr>
        <w:tblStyle w:val="30"/>
        <w:tblpPr w:leftFromText="180" w:rightFromText="180" w:vertAnchor="text" w:horzAnchor="page" w:tblpX="1625" w:tblpY="74"/>
        <w:tblOverlap w:val="never"/>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widowControl w:val="0"/>
              <w:numPr>
                <w:ilvl w:val="0"/>
                <w:numId w:val="8"/>
              </w:numPr>
              <w:autoSpaceDE/>
              <w:autoSpaceDN/>
              <w:adjustRightInd/>
              <w:snapToGrid/>
              <w:spacing w:after="0"/>
              <w:ind w:left="720" w:hanging="360"/>
              <w:jc w:val="left"/>
              <w:rPr>
                <w:rFonts w:ascii="Times" w:hAnsi="Times" w:eastAsia="바탕"/>
                <w:sz w:val="20"/>
                <w:szCs w:val="24"/>
                <w:lang w:val="en-GB"/>
              </w:rPr>
            </w:pPr>
            <w:r>
              <w:rPr>
                <w:rFonts w:ascii="Times" w:hAnsi="Times" w:eastAsia="바탕"/>
                <w:sz w:val="20"/>
                <w:szCs w:val="24"/>
                <w:lang w:val="en-GB"/>
              </w:rPr>
              <w:t>FFS: Search space configuration</w:t>
            </w:r>
          </w:p>
          <w:p>
            <w:pPr>
              <w:widowControl w:val="0"/>
              <w:numPr>
                <w:ilvl w:val="1"/>
                <w:numId w:val="8"/>
              </w:numPr>
              <w:autoSpaceDE/>
              <w:autoSpaceDN/>
              <w:adjustRightInd/>
              <w:snapToGrid/>
              <w:spacing w:after="0"/>
              <w:ind w:left="1440" w:hanging="360"/>
              <w:jc w:val="left"/>
              <w:rPr>
                <w:rFonts w:ascii="Times" w:hAnsi="Times" w:eastAsia="바탕"/>
                <w:sz w:val="20"/>
                <w:szCs w:val="24"/>
                <w:lang w:val="en-US"/>
              </w:rPr>
            </w:pPr>
            <w:r>
              <w:rPr>
                <w:rFonts w:hint="eastAsia" w:ascii="Times" w:hAnsi="Times" w:eastAsia="바탕"/>
                <w:sz w:val="20"/>
                <w:szCs w:val="24"/>
                <w:lang w:val="en-US"/>
              </w:rPr>
              <w:t>F</w:t>
            </w:r>
            <w:r>
              <w:rPr>
                <w:rFonts w:ascii="Times" w:hAnsi="Times" w:eastAsia="바탕"/>
                <w:sz w:val="20"/>
                <w:szCs w:val="24"/>
                <w:lang w:val="en-US"/>
              </w:rPr>
              <w:t>or Group (1) SS</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A SS is configured to be within Y</w:t>
            </w:r>
            <w:r>
              <w:rPr>
                <w:rFonts w:ascii="Times" w:hAnsi="Times" w:eastAsia="바탕"/>
                <w:sz w:val="20"/>
                <w:szCs w:val="24"/>
                <w:vertAlign w:val="subscript"/>
                <w:lang w:val="en-GB"/>
              </w:rPr>
              <w:t>Group1</w:t>
            </w:r>
            <w:r>
              <w:rPr>
                <w:rFonts w:ascii="Times" w:hAnsi="Times" w:eastAsia="바탕"/>
                <w:sz w:val="20"/>
                <w:szCs w:val="24"/>
                <w:lang w:val="en-GB"/>
              </w:rPr>
              <w:t xml:space="preserve"> consecutive slots within a slot group of X 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 xml:space="preserve">The location of the </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xml:space="preserve"> </w:t>
            </w:r>
            <w:r>
              <w:rPr>
                <w:rFonts w:ascii="Times" w:hAnsi="Times" w:eastAsia="바탕"/>
                <w:sz w:val="20"/>
                <w:szCs w:val="24"/>
                <w:lang w:val="en-US"/>
              </w:rPr>
              <w:t xml:space="preserve">consecutive slots within a slot group of X slots is based on a time offset within the slot group based on slot index n0 determined for Group (2) monitoring such that the </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xml:space="preserve"> </w:t>
            </w:r>
            <w:r>
              <w:rPr>
                <w:rFonts w:ascii="Times" w:hAnsi="Times" w:eastAsia="바탕"/>
                <w:sz w:val="20"/>
                <w:szCs w:val="24"/>
                <w:lang w:val="en-US"/>
              </w:rPr>
              <w:t xml:space="preserve">slots overlap the </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xml:space="preserve"> </w:t>
            </w:r>
            <w:r>
              <w:rPr>
                <w:rFonts w:ascii="Times" w:hAnsi="Times" w:eastAsia="바탕"/>
                <w:sz w:val="20"/>
                <w:szCs w:val="24"/>
                <w:lang w:val="en-US"/>
              </w:rPr>
              <w:t>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 xml:space="preserve">The location of the </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xml:space="preserve"> </w:t>
            </w:r>
            <w:r>
              <w:rPr>
                <w:rFonts w:ascii="Times" w:hAnsi="Times" w:eastAsia="바탕"/>
                <w:sz w:val="20"/>
                <w:szCs w:val="24"/>
                <w:lang w:val="en-US"/>
              </w:rPr>
              <w:t xml:space="preserve">consecutive slots within a </w:t>
            </w:r>
            <w:r>
              <w:rPr>
                <w:rFonts w:ascii="Times" w:hAnsi="Times" w:eastAsia="바탕"/>
                <w:sz w:val="20"/>
                <w:szCs w:val="24"/>
                <w:lang w:val="en-GB"/>
              </w:rPr>
              <w:t>slot group of X slots</w:t>
            </w:r>
            <w:r>
              <w:rPr>
                <w:rFonts w:ascii="Times" w:hAnsi="Times" w:eastAsia="바탕"/>
                <w:sz w:val="20"/>
                <w:szCs w:val="24"/>
                <w:lang w:val="en-US"/>
              </w:rPr>
              <w:t xml:space="preserve"> is maintained across different slot groups (unless n0 changes)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GB"/>
              </w:rPr>
              <w:t>BD attempts for all Group (1) SSs are restricted to fall within the same Y</w:t>
            </w:r>
            <w:r>
              <w:rPr>
                <w:rFonts w:ascii="Times" w:hAnsi="Times" w:eastAsia="바탕"/>
                <w:sz w:val="20"/>
                <w:szCs w:val="24"/>
                <w:vertAlign w:val="subscript"/>
                <w:lang w:val="en-GB"/>
              </w:rPr>
              <w:t>Group1</w:t>
            </w:r>
            <w:r>
              <w:rPr>
                <w:rFonts w:ascii="Times" w:hAnsi="Times" w:eastAsia="바탕"/>
                <w:sz w:val="20"/>
                <w:szCs w:val="24"/>
                <w:lang w:val="en-GB"/>
              </w:rPr>
              <w:t xml:space="preserve"> consecutive slots</w:t>
            </w:r>
          </w:p>
          <w:p>
            <w:pPr>
              <w:widowControl w:val="0"/>
              <w:numPr>
                <w:ilvl w:val="1"/>
                <w:numId w:val="8"/>
              </w:numPr>
              <w:autoSpaceDE/>
              <w:autoSpaceDN/>
              <w:adjustRightInd/>
              <w:snapToGrid/>
              <w:spacing w:after="0"/>
              <w:ind w:left="1440" w:hanging="360"/>
              <w:jc w:val="left"/>
              <w:rPr>
                <w:rFonts w:ascii="Times" w:hAnsi="Times" w:eastAsia="바탕"/>
                <w:sz w:val="20"/>
                <w:szCs w:val="24"/>
                <w:lang w:val="en-US"/>
              </w:rPr>
            </w:pPr>
            <w:r>
              <w:rPr>
                <w:rFonts w:hint="eastAsia" w:ascii="Times" w:hAnsi="Times" w:eastAsia="바탕"/>
                <w:sz w:val="20"/>
                <w:szCs w:val="24"/>
                <w:lang w:val="en-US"/>
              </w:rPr>
              <w:t>F</w:t>
            </w:r>
            <w:r>
              <w:rPr>
                <w:rFonts w:ascii="Times" w:hAnsi="Times" w:eastAsia="바탕"/>
                <w:sz w:val="20"/>
                <w:szCs w:val="24"/>
                <w:lang w:val="en-US"/>
              </w:rPr>
              <w:t>or Group (2) SS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GB"/>
              </w:rPr>
              <w:t>A SS is configured to be within Y</w:t>
            </w:r>
            <w:r>
              <w:rPr>
                <w:rFonts w:ascii="Times" w:hAnsi="Times" w:eastAsia="바탕"/>
                <w:sz w:val="20"/>
                <w:szCs w:val="24"/>
                <w:vertAlign w:val="subscript"/>
                <w:lang w:val="en-GB"/>
              </w:rPr>
              <w:t>Group2</w:t>
            </w:r>
            <w:r>
              <w:rPr>
                <w:rFonts w:ascii="Times" w:hAnsi="Times" w:eastAsia="바탕"/>
                <w:sz w:val="20"/>
                <w:szCs w:val="24"/>
                <w:lang w:val="en-GB"/>
              </w:rPr>
              <w:t xml:space="preserve"> consecutive slots within a slot group of X slots</w:t>
            </w:r>
          </w:p>
          <w:p>
            <w:pPr>
              <w:widowControl w:val="0"/>
              <w:numPr>
                <w:ilvl w:val="2"/>
                <w:numId w:val="8"/>
              </w:numPr>
              <w:autoSpaceDE/>
              <w:autoSpaceDN/>
              <w:adjustRightInd/>
              <w:snapToGrid/>
              <w:spacing w:after="0"/>
              <w:ind w:left="2160" w:hanging="360"/>
              <w:jc w:val="left"/>
              <w:rPr>
                <w:rFonts w:ascii="Times" w:hAnsi="Times" w:eastAsia="바탕"/>
                <w:sz w:val="20"/>
                <w:szCs w:val="24"/>
                <w:lang w:val="en-US"/>
              </w:rPr>
            </w:pPr>
            <w:r>
              <w:rPr>
                <w:rFonts w:ascii="Times" w:hAnsi="Times" w:eastAsia="바탕"/>
                <w:sz w:val="20"/>
                <w:szCs w:val="24"/>
                <w:lang w:val="en-US"/>
              </w:rPr>
              <w:t xml:space="preserve">The location of the </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xml:space="preserve"> </w:t>
            </w:r>
            <w:r>
              <w:rPr>
                <w:rFonts w:ascii="Times" w:hAnsi="Times" w:eastAsia="바탕"/>
                <w:sz w:val="20"/>
                <w:szCs w:val="24"/>
                <w:lang w:val="en-US"/>
              </w:rPr>
              <w:t>consecutive slots within a slot group of X slots is maintained across different slot groups (unless n0 changes)</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US"/>
              </w:rPr>
              <w:t>The reported capability indicates the BD/CCE budget within Y=max(</w:t>
            </w:r>
            <w:r>
              <w:rPr>
                <w:rFonts w:ascii="Times" w:hAnsi="Times" w:eastAsia="바탕"/>
                <w:sz w:val="20"/>
                <w:szCs w:val="24"/>
                <w:lang w:val="en-GB"/>
              </w:rPr>
              <w:t>Y</w:t>
            </w:r>
            <w:r>
              <w:rPr>
                <w:rFonts w:ascii="Times" w:hAnsi="Times" w:eastAsia="바탕"/>
                <w:sz w:val="20"/>
                <w:szCs w:val="24"/>
                <w:vertAlign w:val="subscript"/>
                <w:lang w:val="en-GB"/>
              </w:rPr>
              <w:t>Group1</w:t>
            </w:r>
            <w:r>
              <w:rPr>
                <w:rFonts w:ascii="Times" w:hAnsi="Times" w:eastAsia="바탕"/>
                <w:sz w:val="20"/>
                <w:szCs w:val="24"/>
                <w:lang w:val="en-GB"/>
              </w:rPr>
              <w:t>, 2</w:t>
            </w:r>
            <w:r>
              <w:rPr>
                <w:rFonts w:ascii="Times" w:hAnsi="Times" w:eastAsia="바탕"/>
                <w:sz w:val="20"/>
                <w:szCs w:val="24"/>
                <w:lang w:val="en-US"/>
              </w:rPr>
              <w:t>) slots per slot group</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GB"/>
              </w:rPr>
              <w:t>Support the following values of Y</w:t>
            </w:r>
            <w:r>
              <w:rPr>
                <w:rFonts w:ascii="Times" w:hAnsi="Times" w:eastAsia="바탕"/>
                <w:sz w:val="20"/>
                <w:szCs w:val="24"/>
                <w:vertAlign w:val="subscript"/>
                <w:lang w:val="en-GB"/>
              </w:rPr>
              <w:t>Group1</w:t>
            </w:r>
            <w:r>
              <w:rPr>
                <w:rFonts w:ascii="Times" w:hAnsi="Times" w:eastAsia="바탕"/>
                <w:sz w:val="20"/>
                <w:szCs w:val="24"/>
                <w:lang w:val="en-GB"/>
              </w:rPr>
              <w:t xml:space="preserve"> and Y</w:t>
            </w:r>
            <w:r>
              <w:rPr>
                <w:rFonts w:ascii="Times" w:hAnsi="Times" w:eastAsia="바탕"/>
                <w:sz w:val="20"/>
                <w:szCs w:val="24"/>
                <w:vertAlign w:val="subscript"/>
                <w:lang w:val="en-GB"/>
              </w:rPr>
              <w:t>Group2</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For X=8: (Y</w:t>
            </w:r>
            <w:r>
              <w:rPr>
                <w:rFonts w:ascii="Times" w:hAnsi="Times" w:eastAsia="바탕"/>
                <w:sz w:val="20"/>
                <w:szCs w:val="24"/>
                <w:vertAlign w:val="subscript"/>
                <w:lang w:val="en-GB"/>
              </w:rPr>
              <w:t>Group1</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 (4,2), (2,2), (1,[1 or 2])</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For X=4: (Y</w:t>
            </w:r>
            <w:r>
              <w:rPr>
                <w:rFonts w:ascii="Times" w:hAnsi="Times" w:eastAsia="바탕"/>
                <w:sz w:val="20"/>
                <w:szCs w:val="24"/>
                <w:vertAlign w:val="subscript"/>
                <w:lang w:val="en-GB"/>
              </w:rPr>
              <w:t>Group1</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 (2,2), (1,[1 or 2])</w:t>
            </w:r>
          </w:p>
          <w:p>
            <w:pPr>
              <w:widowControl w:val="0"/>
              <w:numPr>
                <w:ilvl w:val="2"/>
                <w:numId w:val="8"/>
              </w:numPr>
              <w:autoSpaceDE/>
              <w:autoSpaceDN/>
              <w:adjustRightInd/>
              <w:snapToGrid/>
              <w:spacing w:after="0"/>
              <w:ind w:left="2160" w:hanging="360"/>
              <w:jc w:val="left"/>
              <w:rPr>
                <w:rFonts w:ascii="Times" w:hAnsi="Times" w:eastAsia="바탕"/>
                <w:sz w:val="20"/>
                <w:szCs w:val="24"/>
                <w:lang w:val="en-GB"/>
              </w:rPr>
            </w:pPr>
            <w:r>
              <w:rPr>
                <w:rFonts w:ascii="Times" w:hAnsi="Times" w:eastAsia="바탕"/>
                <w:sz w:val="20"/>
                <w:szCs w:val="24"/>
                <w:lang w:val="en-GB"/>
              </w:rPr>
              <w:t>For X=2: (Y</w:t>
            </w:r>
            <w:r>
              <w:rPr>
                <w:rFonts w:ascii="Times" w:hAnsi="Times" w:eastAsia="바탕"/>
                <w:sz w:val="20"/>
                <w:szCs w:val="24"/>
                <w:vertAlign w:val="subscript"/>
                <w:lang w:val="en-GB"/>
              </w:rPr>
              <w:t>Group1</w:t>
            </w:r>
            <w:r>
              <w:rPr>
                <w:rFonts w:ascii="Times" w:hAnsi="Times" w:eastAsia="바탕"/>
                <w:sz w:val="20"/>
                <w:szCs w:val="24"/>
                <w:lang w:val="en-GB"/>
              </w:rPr>
              <w:t>,Y</w:t>
            </w:r>
            <w:r>
              <w:rPr>
                <w:rFonts w:ascii="Times" w:hAnsi="Times" w:eastAsia="바탕"/>
                <w:sz w:val="20"/>
                <w:szCs w:val="24"/>
                <w:vertAlign w:val="subscript"/>
                <w:lang w:val="en-GB"/>
              </w:rPr>
              <w:t>Group2</w:t>
            </w:r>
            <w:r>
              <w:rPr>
                <w:rFonts w:ascii="Times" w:hAnsi="Times" w:eastAsia="바탕"/>
                <w:sz w:val="20"/>
                <w:szCs w:val="24"/>
                <w:lang w:val="en-GB"/>
              </w:rPr>
              <w:t>) = (1,[1 or 2])</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GB"/>
              </w:rPr>
              <w:t>Group (1) SS: Type 1 CSS with dedicated RRC configuration and type 3 CSS, UE specific SS</w:t>
            </w:r>
          </w:p>
          <w:p>
            <w:pPr>
              <w:widowControl w:val="0"/>
              <w:numPr>
                <w:ilvl w:val="1"/>
                <w:numId w:val="8"/>
              </w:numPr>
              <w:autoSpaceDE/>
              <w:autoSpaceDN/>
              <w:adjustRightInd/>
              <w:snapToGrid/>
              <w:spacing w:after="0"/>
              <w:ind w:left="1440" w:hanging="360"/>
              <w:jc w:val="left"/>
              <w:rPr>
                <w:rFonts w:ascii="Times" w:hAnsi="Times" w:eastAsia="바탕"/>
                <w:sz w:val="20"/>
                <w:szCs w:val="24"/>
                <w:lang w:val="en-GB"/>
              </w:rPr>
            </w:pPr>
            <w:r>
              <w:rPr>
                <w:rFonts w:ascii="Times" w:hAnsi="Times" w:eastAsia="바탕"/>
                <w:sz w:val="20"/>
                <w:szCs w:val="24"/>
                <w:lang w:val="en-GB"/>
              </w:rPr>
              <w:t>Group (2) SS: Type 1 CSS without dedicated RRC configuration and type 0, 0A, and 2 CSS</w:t>
            </w:r>
          </w:p>
          <w:p>
            <w:pPr>
              <w:widowControl w:val="0"/>
              <w:rPr>
                <w:rFonts w:hint="eastAsia"/>
                <w:b w:val="0"/>
                <w:bCs/>
                <w:i w:val="0"/>
                <w:iCs/>
                <w:szCs w:val="20"/>
                <w:vertAlign w:val="baseline"/>
                <w:lang w:val="en-US" w:eastAsia="zh-CN"/>
              </w:rPr>
            </w:pPr>
          </w:p>
        </w:tc>
      </w:tr>
    </w:tbl>
    <w:p>
      <w:pPr>
        <w:rPr>
          <w:rFonts w:hint="default"/>
          <w:b w:val="0"/>
          <w:bCs/>
          <w:i w:val="0"/>
          <w:iCs/>
          <w:szCs w:val="20"/>
          <w:lang w:val="en-US" w:eastAsia="zh-CN"/>
        </w:rPr>
      </w:pPr>
    </w:p>
    <w:p>
      <w:pPr>
        <w:rPr>
          <w:rFonts w:hint="eastAsia"/>
          <w:b w:val="0"/>
          <w:bCs/>
          <w:i w:val="0"/>
          <w:iCs/>
          <w:szCs w:val="20"/>
          <w:lang w:val="en-US" w:eastAsia="zh-CN"/>
        </w:rPr>
      </w:pPr>
      <w:r>
        <w:rPr>
          <w:rFonts w:hint="eastAsia"/>
          <w:b w:val="0"/>
          <w:bCs/>
          <w:i w:val="0"/>
          <w:iCs/>
          <w:szCs w:val="20"/>
          <w:lang w:val="en-US" w:eastAsia="zh-CN"/>
        </w:rPr>
        <w:t>In RAN1#106bis-e meeting, it was the proposed that the value of Y is determined by the equation Y=max(Y</w:t>
      </w:r>
      <w:r>
        <w:rPr>
          <w:rFonts w:hint="eastAsia"/>
          <w:b w:val="0"/>
          <w:bCs/>
          <w:i w:val="0"/>
          <w:iCs/>
          <w:szCs w:val="20"/>
          <w:vertAlign w:val="subscript"/>
          <w:lang w:val="en-US" w:eastAsia="zh-CN"/>
        </w:rPr>
        <w:t>Group1</w:t>
      </w:r>
      <w:r>
        <w:rPr>
          <w:rFonts w:hint="eastAsia"/>
          <w:b w:val="0"/>
          <w:bCs/>
          <w:i w:val="0"/>
          <w:iCs/>
          <w:szCs w:val="20"/>
          <w:lang w:val="en-US" w:eastAsia="zh-CN"/>
        </w:rPr>
        <w:t>, 2) slots. It can be seen from the equation that the minimum value of Y is 2. Therefore, two slots can be regarded as a minimum unit of BD/CCE budget. However, if the value of 1 is adopted for Y</w:t>
      </w:r>
      <w:r>
        <w:rPr>
          <w:rFonts w:hint="eastAsia"/>
          <w:b w:val="0"/>
          <w:bCs/>
          <w:i w:val="0"/>
          <w:iCs/>
          <w:szCs w:val="20"/>
          <w:vertAlign w:val="subscript"/>
          <w:lang w:val="en-US" w:eastAsia="zh-CN"/>
        </w:rPr>
        <w:t>Group2</w:t>
      </w:r>
      <w:r>
        <w:rPr>
          <w:rFonts w:hint="eastAsia"/>
          <w:b w:val="0"/>
          <w:bCs/>
          <w:i w:val="0"/>
          <w:iCs/>
          <w:szCs w:val="20"/>
          <w:lang w:val="en-US" w:eastAsia="zh-CN"/>
        </w:rPr>
        <w:t xml:space="preserve">, given that </w:t>
      </w:r>
      <w:bookmarkStart w:id="14" w:name="OLE_LINK7"/>
      <w:r>
        <w:rPr>
          <w:rFonts w:hint="eastAsia"/>
          <w:b w:val="0"/>
          <w:bCs/>
          <w:i w:val="0"/>
          <w:iCs/>
          <w:szCs w:val="20"/>
          <w:lang w:val="en-US" w:eastAsia="zh-CN"/>
        </w:rPr>
        <w:t>the PDCCH monitoring occasion of Group 1</w:t>
      </w:r>
      <w:bookmarkEnd w:id="14"/>
      <w:r>
        <w:rPr>
          <w:rFonts w:hint="eastAsia"/>
          <w:b w:val="0"/>
          <w:bCs/>
          <w:i w:val="0"/>
          <w:iCs/>
          <w:szCs w:val="20"/>
          <w:lang w:val="en-US" w:eastAsia="zh-CN"/>
        </w:rPr>
        <w:t xml:space="preserve"> overlaps with the PDCCH monitoring occasion of Group 2, then only one slot is used to locate the PDCCH within a slot group. In such case, the minimum of </w:t>
      </w:r>
      <w:bookmarkStart w:id="15" w:name="OLE_LINK9"/>
      <w:r>
        <w:rPr>
          <w:rFonts w:hint="eastAsia"/>
          <w:b w:val="0"/>
          <w:bCs/>
          <w:i w:val="0"/>
          <w:iCs/>
          <w:szCs w:val="20"/>
          <w:lang w:val="en-US" w:eastAsia="zh-CN"/>
        </w:rPr>
        <w:t>Y</w:t>
      </w:r>
      <w:bookmarkEnd w:id="15"/>
      <w:r>
        <w:rPr>
          <w:rFonts w:hint="eastAsia"/>
          <w:b w:val="0"/>
          <w:bCs/>
          <w:i w:val="0"/>
          <w:iCs/>
          <w:szCs w:val="20"/>
          <w:lang w:val="en-US" w:eastAsia="zh-CN"/>
        </w:rPr>
        <w:t xml:space="preserve"> is meaningless, because only one slot is used for PDCCH monitoring occasion. On the other hand, in order to maintain the same design principles as Rel-15 </w:t>
      </w:r>
      <w:r>
        <w:rPr>
          <w:rFonts w:hint="eastAsia" w:eastAsia="宋体"/>
          <w:lang w:val="en-US" w:eastAsia="zh-CN"/>
        </w:rPr>
        <w:t>CORESET#0/Type0-PDCCH CSS</w:t>
      </w:r>
      <w:r>
        <w:rPr>
          <w:rFonts w:hint="eastAsia"/>
          <w:b w:val="0"/>
          <w:bCs/>
          <w:i w:val="0"/>
          <w:iCs/>
          <w:szCs w:val="20"/>
          <w:lang w:val="en-US" w:eastAsia="zh-CN"/>
        </w:rPr>
        <w:t xml:space="preserve"> monitoring occasion, the value of 2 is suitable for Group 2 SS monitoring occasion.</w:t>
      </w:r>
    </w:p>
    <w:p>
      <w:pPr>
        <w:rPr>
          <w:rFonts w:hint="default"/>
          <w:b/>
          <w:bCs w:val="0"/>
          <w:i/>
          <w:iCs w:val="0"/>
          <w:szCs w:val="20"/>
          <w:lang w:val="en-US" w:eastAsia="zh-CN"/>
        </w:rPr>
      </w:pPr>
      <w:r>
        <w:rPr>
          <w:rFonts w:hint="eastAsia"/>
          <w:b/>
          <w:bCs w:val="0"/>
          <w:i/>
          <w:iCs w:val="0"/>
          <w:szCs w:val="20"/>
          <w:lang w:val="en-US" w:eastAsia="zh-CN"/>
        </w:rPr>
        <w:t>Proposal 4: The value of Y</w:t>
      </w:r>
      <w:r>
        <w:rPr>
          <w:rFonts w:hint="eastAsia"/>
          <w:b/>
          <w:bCs w:val="0"/>
          <w:i/>
          <w:iCs w:val="0"/>
          <w:szCs w:val="20"/>
          <w:vertAlign w:val="subscript"/>
          <w:lang w:val="en-US" w:eastAsia="zh-CN"/>
        </w:rPr>
        <w:t>Group2</w:t>
      </w:r>
      <w:r>
        <w:rPr>
          <w:rFonts w:hint="eastAsia"/>
          <w:b/>
          <w:bCs w:val="0"/>
          <w:i/>
          <w:iCs w:val="0"/>
          <w:szCs w:val="20"/>
          <w:lang w:val="en-US" w:eastAsia="zh-CN"/>
        </w:rPr>
        <w:t xml:space="preserve"> should be 2.</w:t>
      </w:r>
    </w:p>
    <w:p>
      <w:pPr>
        <w:rPr>
          <w:rFonts w:hint="default"/>
          <w:b w:val="0"/>
          <w:bCs/>
          <w:i w:val="0"/>
          <w:iCs/>
          <w:szCs w:val="20"/>
          <w:lang w:val="en-US" w:eastAsia="zh-CN"/>
        </w:rPr>
      </w:pPr>
    </w:p>
    <w:p>
      <w:pPr>
        <w:pStyle w:val="3"/>
        <w:bidi w:val="0"/>
        <w:ind w:left="431" w:leftChars="0" w:hanging="431" w:firstLineChars="0"/>
        <w:rPr>
          <w:rFonts w:hint="default"/>
          <w:lang w:val="en-US" w:eastAsia="zh-CN"/>
        </w:rPr>
      </w:pPr>
      <w:r>
        <w:rPr>
          <w:rFonts w:hint="eastAsia"/>
          <w:lang w:val="en-US" w:eastAsia="zh-CN"/>
        </w:rPr>
        <w:t>Search Space enhancement</w:t>
      </w:r>
    </w:p>
    <w:p>
      <w:pPr>
        <w:rPr>
          <w:rFonts w:hint="eastAsia"/>
          <w:lang w:val="en-US" w:eastAsia="zh-CN"/>
        </w:rPr>
      </w:pPr>
      <w:r>
        <w:rPr>
          <w:rFonts w:hint="eastAsia"/>
          <w:lang w:val="en-US" w:eastAsia="zh-CN"/>
        </w:rPr>
        <w:t xml:space="preserve">In NR, the PDCCH monitoring occasion can be configured by RRC parameter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which is listed below. </w:t>
      </w:r>
    </w:p>
    <w:p>
      <w:pPr>
        <w:pStyle w:val="99"/>
      </w:pPr>
      <w:r>
        <w:t xml:space="preserve">SearchSpace ::=                         </w:t>
      </w:r>
      <w:r>
        <w:rPr>
          <w:color w:val="993366"/>
        </w:rPr>
        <w:t>SEQUENCE</w:t>
      </w:r>
      <w:r>
        <w:t xml:space="preserve"> {</w:t>
      </w:r>
    </w:p>
    <w:p>
      <w:pPr>
        <w:pStyle w:val="99"/>
      </w:pPr>
      <w:r>
        <w:t xml:space="preserve">    searchSpaceId                           SearchSpaceId,</w:t>
      </w:r>
    </w:p>
    <w:p>
      <w:pPr>
        <w:pStyle w:val="99"/>
        <w:rPr>
          <w:color w:val="808080"/>
        </w:rPr>
      </w:pPr>
      <w:r>
        <w:t xml:space="preserve">    controlResourceSetId                    ControlResourceSetId             </w:t>
      </w:r>
      <w:r>
        <w:rPr>
          <w:color w:val="993366"/>
        </w:rPr>
        <w:t>OPTIONAL</w:t>
      </w:r>
      <w:r>
        <w:t xml:space="preserve">,   </w:t>
      </w:r>
      <w:r>
        <w:rPr>
          <w:color w:val="808080"/>
        </w:rPr>
        <w:t>-- Cond SetupOnly</w:t>
      </w:r>
    </w:p>
    <w:p>
      <w:pPr>
        <w:pStyle w:val="99"/>
      </w:pPr>
      <w:r>
        <w:t xml:space="preserve">    monitoringSlotPeriodicityAndOffset      </w:t>
      </w:r>
      <w:r>
        <w:rPr>
          <w:color w:val="993366"/>
        </w:rPr>
        <w:t>CHOICE</w:t>
      </w:r>
      <w:r>
        <w:t xml:space="preserve"> {</w:t>
      </w:r>
    </w:p>
    <w:p>
      <w:pPr>
        <w:pStyle w:val="99"/>
      </w:pPr>
      <w:r>
        <w:t xml:space="preserve">        sl1                                     </w:t>
      </w:r>
      <w:r>
        <w:rPr>
          <w:color w:val="993366"/>
        </w:rPr>
        <w:t>NULL</w:t>
      </w:r>
      <w:r>
        <w:t>,</w:t>
      </w:r>
    </w:p>
    <w:p>
      <w:pPr>
        <w:pStyle w:val="99"/>
      </w:pPr>
      <w:r>
        <w:t xml:space="preserve">        sl2                                     </w:t>
      </w:r>
      <w:r>
        <w:rPr>
          <w:color w:val="993366"/>
        </w:rPr>
        <w:t>INTEGER</w:t>
      </w:r>
      <w:r>
        <w:t xml:space="preserve"> (0..1),</w:t>
      </w:r>
    </w:p>
    <w:p>
      <w:pPr>
        <w:pStyle w:val="99"/>
      </w:pPr>
      <w:r>
        <w:t xml:space="preserve">        sl4                                     </w:t>
      </w:r>
      <w:r>
        <w:rPr>
          <w:color w:val="993366"/>
        </w:rPr>
        <w:t>INTEGER</w:t>
      </w:r>
      <w:r>
        <w:t xml:space="preserve"> (0..3),</w:t>
      </w:r>
    </w:p>
    <w:p>
      <w:pPr>
        <w:pStyle w:val="99"/>
      </w:pPr>
      <w:r>
        <w:t xml:space="preserve">        sl5                                     </w:t>
      </w:r>
      <w:r>
        <w:rPr>
          <w:color w:val="993366"/>
        </w:rPr>
        <w:t>INTEGER</w:t>
      </w:r>
      <w:r>
        <w:t xml:space="preserve"> (0..4),</w:t>
      </w:r>
    </w:p>
    <w:p>
      <w:pPr>
        <w:pStyle w:val="99"/>
      </w:pPr>
      <w:r>
        <w:t xml:space="preserve">        sl8                                     </w:t>
      </w:r>
      <w:r>
        <w:rPr>
          <w:color w:val="993366"/>
        </w:rPr>
        <w:t>INTEGER</w:t>
      </w:r>
      <w:r>
        <w:t xml:space="preserve"> (0..7),</w:t>
      </w:r>
    </w:p>
    <w:p>
      <w:pPr>
        <w:pStyle w:val="99"/>
      </w:pPr>
      <w:r>
        <w:t xml:space="preserve">        sl10                                    </w:t>
      </w:r>
      <w:r>
        <w:rPr>
          <w:color w:val="993366"/>
        </w:rPr>
        <w:t>INTEGER</w:t>
      </w:r>
      <w:r>
        <w:t xml:space="preserve"> (0..9),</w:t>
      </w:r>
    </w:p>
    <w:p>
      <w:pPr>
        <w:pStyle w:val="99"/>
      </w:pPr>
      <w:r>
        <w:t xml:space="preserve">        sl16                                    </w:t>
      </w:r>
      <w:r>
        <w:rPr>
          <w:color w:val="993366"/>
        </w:rPr>
        <w:t>INTEGER</w:t>
      </w:r>
      <w:r>
        <w:t xml:space="preserve"> (0..15),</w:t>
      </w:r>
    </w:p>
    <w:p>
      <w:pPr>
        <w:pStyle w:val="99"/>
      </w:pPr>
      <w:r>
        <w:t xml:space="preserve">        sl20                                    </w:t>
      </w:r>
      <w:r>
        <w:rPr>
          <w:color w:val="993366"/>
        </w:rPr>
        <w:t>INTEGER</w:t>
      </w:r>
      <w:r>
        <w:t xml:space="preserve"> (0..19),</w:t>
      </w:r>
    </w:p>
    <w:p>
      <w:pPr>
        <w:pStyle w:val="99"/>
      </w:pPr>
      <w:r>
        <w:t xml:space="preserve">        sl40                                    </w:t>
      </w:r>
      <w:r>
        <w:rPr>
          <w:color w:val="993366"/>
        </w:rPr>
        <w:t>INTEGER</w:t>
      </w:r>
      <w:r>
        <w:t xml:space="preserve"> (0..39),</w:t>
      </w:r>
    </w:p>
    <w:p>
      <w:pPr>
        <w:pStyle w:val="99"/>
      </w:pPr>
      <w:r>
        <w:t xml:space="preserve">        sl80                                    </w:t>
      </w:r>
      <w:r>
        <w:rPr>
          <w:color w:val="993366"/>
        </w:rPr>
        <w:t>INTEGER</w:t>
      </w:r>
      <w:r>
        <w:t xml:space="preserve"> (0..79),</w:t>
      </w:r>
    </w:p>
    <w:p>
      <w:pPr>
        <w:pStyle w:val="99"/>
      </w:pPr>
      <w:r>
        <w:t xml:space="preserve">        sl160                                   </w:t>
      </w:r>
      <w:r>
        <w:rPr>
          <w:color w:val="993366"/>
        </w:rPr>
        <w:t>INTEGER</w:t>
      </w:r>
      <w:r>
        <w:t xml:space="preserve"> (0..159),</w:t>
      </w:r>
    </w:p>
    <w:p>
      <w:pPr>
        <w:pStyle w:val="99"/>
      </w:pPr>
      <w:r>
        <w:t xml:space="preserve">        sl320                                   </w:t>
      </w:r>
      <w:r>
        <w:rPr>
          <w:color w:val="993366"/>
        </w:rPr>
        <w:t>INTEGER</w:t>
      </w:r>
      <w:r>
        <w:t xml:space="preserve"> (0..319),</w:t>
      </w:r>
    </w:p>
    <w:p>
      <w:pPr>
        <w:pStyle w:val="99"/>
      </w:pPr>
      <w:r>
        <w:t xml:space="preserve">        sl640                                   </w:t>
      </w:r>
      <w:r>
        <w:rPr>
          <w:color w:val="993366"/>
        </w:rPr>
        <w:t>INTEGER</w:t>
      </w:r>
      <w:r>
        <w:t xml:space="preserve"> (0..639),</w:t>
      </w:r>
    </w:p>
    <w:p>
      <w:pPr>
        <w:pStyle w:val="99"/>
      </w:pPr>
      <w:r>
        <w:t xml:space="preserve">        sl1280                                  </w:t>
      </w:r>
      <w:r>
        <w:rPr>
          <w:color w:val="993366"/>
        </w:rPr>
        <w:t>INTEGER</w:t>
      </w:r>
      <w:r>
        <w:t xml:space="preserve"> (0..1279),</w:t>
      </w:r>
    </w:p>
    <w:p>
      <w:pPr>
        <w:pStyle w:val="99"/>
      </w:pPr>
      <w:r>
        <w:t xml:space="preserve">        sl2560                                  </w:t>
      </w:r>
      <w:r>
        <w:rPr>
          <w:color w:val="993366"/>
        </w:rPr>
        <w:t>INTEGER</w:t>
      </w:r>
      <w:r>
        <w:t xml:space="preserve"> (0..2559)</w:t>
      </w:r>
    </w:p>
    <w:p>
      <w:pPr>
        <w:pStyle w:val="99"/>
        <w:rPr>
          <w:color w:val="808080"/>
        </w:rPr>
      </w:pPr>
      <w:r>
        <w:t xml:space="preserve">    }                                                                        </w:t>
      </w:r>
      <w:r>
        <w:rPr>
          <w:color w:val="993366"/>
        </w:rPr>
        <w:t>OPTIONAL</w:t>
      </w:r>
      <w:r>
        <w:t xml:space="preserve">,   </w:t>
      </w:r>
      <w:r>
        <w:rPr>
          <w:color w:val="808080"/>
        </w:rPr>
        <w:t>-- Cond Setup</w:t>
      </w:r>
    </w:p>
    <w:p>
      <w:pPr>
        <w:pStyle w:val="99"/>
        <w:rPr>
          <w:color w:val="808080"/>
        </w:rPr>
      </w:pPr>
      <w:r>
        <w:t xml:space="preserve">    duration                                </w:t>
      </w:r>
      <w:r>
        <w:rPr>
          <w:color w:val="993366"/>
        </w:rPr>
        <w:t>INTEGER</w:t>
      </w:r>
      <w:r>
        <w:t xml:space="preserve"> (2..2559)           </w:t>
      </w:r>
      <w:r>
        <w:rPr>
          <w:rFonts w:hint="eastAsia" w:eastAsia="宋体"/>
          <w:lang w:val="en-US" w:eastAsia="zh-CN"/>
        </w:rPr>
        <w:t xml:space="preserve"> </w:t>
      </w:r>
      <w:r>
        <w:rPr>
          <w:color w:val="993366"/>
        </w:rPr>
        <w:t>OPTIONAL</w:t>
      </w:r>
      <w:r>
        <w:t xml:space="preserve">,   </w:t>
      </w:r>
      <w:r>
        <w:rPr>
          <w:color w:val="808080"/>
        </w:rPr>
        <w:t>-- Need R</w:t>
      </w:r>
    </w:p>
    <w:p>
      <w:pPr>
        <w:pStyle w:val="99"/>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pPr>
        <w:rPr>
          <w:rFonts w:hint="eastAsia"/>
          <w:lang w:val="en-US" w:eastAsia="zh-CN"/>
        </w:rPr>
      </w:pPr>
    </w:p>
    <w:p>
      <w:pPr>
        <w:rPr>
          <w:rFonts w:hint="eastAsia"/>
          <w:lang w:val="en-US" w:eastAsia="zh-CN"/>
        </w:rPr>
      </w:pPr>
      <w:r>
        <w:rPr>
          <w:rFonts w:hint="eastAsia"/>
          <w:lang w:val="en-US" w:eastAsia="zh-CN"/>
        </w:rPr>
        <w:t xml:space="preserve">Regarding the parameter of </w:t>
      </w:r>
      <w:r>
        <w:rPr>
          <w:rFonts w:hint="default"/>
          <w:lang w:val="en-US" w:eastAsia="zh-CN"/>
        </w:rPr>
        <w:t>“</w:t>
      </w:r>
      <w:r>
        <w:rPr>
          <w:rFonts w:hint="eastAsia"/>
          <w:lang w:val="en-US" w:eastAsia="zh-CN"/>
        </w:rPr>
        <w:t>monitoringSlotPeriodicityAndOffset</w:t>
      </w:r>
      <w:r>
        <w:rPr>
          <w:rFonts w:hint="default"/>
          <w:lang w:val="en-US" w:eastAsia="zh-CN"/>
        </w:rPr>
        <w:t>”</w:t>
      </w:r>
      <w:r>
        <w:rPr>
          <w:rFonts w:hint="eastAsia"/>
          <w:lang w:val="en-US" w:eastAsia="zh-CN"/>
        </w:rPr>
        <w:t xml:space="preserve">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in NR Rel-15 it means the slots for PDCCH monitoring configured as periodicity and the relevant offset. For each slot group, it is better to restrict the PDCCH monitoring occasions within Y slots. Otherwise, the multi-slot PDCCH monitoring capability will be violated. Therefore, the parameter of period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should be an integer multiple of X. Meanwhile, to ensure the PDCCH monitoring occasions are located within the Y slots, the offset values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should be associated with the position of Y slots within a slot group.  </w:t>
      </w:r>
    </w:p>
    <w:p>
      <w:pPr>
        <w:rPr>
          <w:rFonts w:hint="default"/>
          <w:lang w:val="en-US" w:eastAsia="zh-CN"/>
        </w:rPr>
      </w:pPr>
      <w:r>
        <w:rPr>
          <w:rFonts w:hint="eastAsia"/>
          <w:lang w:val="en-US" w:eastAsia="zh-CN"/>
        </w:rPr>
        <w:t xml:space="preserve">Regarding the parameter of duration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in NR Rel-15 it refers to the number of consecutive slots that a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lasts in every period. However, for 480kHz SCS and 960kHz SCS, these consecutive slots within a search space period may be located outside the Y consecutive slots within a slot group, which may violet the definition of multi-slot PDCCH monitoring capability. Therefore, a new interpretation of </w:t>
      </w:r>
      <w:r>
        <w:rPr>
          <w:rFonts w:hint="eastAsia"/>
          <w:i/>
          <w:iCs/>
          <w:lang w:val="en-US" w:eastAsia="zh-CN"/>
        </w:rPr>
        <w:t>duration</w:t>
      </w:r>
      <w:r>
        <w:rPr>
          <w:rFonts w:hint="eastAsia"/>
          <w:lang w:val="en-US" w:eastAsia="zh-CN"/>
        </w:rPr>
        <w:t xml:space="preserve"> should be defined. Considering the period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is defined as the integer multiple of X, it is straight forward to interpret the duration as the number of consecutive slot groups that a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lasts in every period.   </w:t>
      </w:r>
    </w:p>
    <w:p>
      <w:pPr>
        <w:rPr>
          <w:rFonts w:hint="default"/>
          <w:b/>
          <w:i/>
          <w:szCs w:val="20"/>
          <w:lang w:val="en-US" w:eastAsia="zh-CN"/>
        </w:rPr>
      </w:pPr>
      <w:r>
        <w:rPr>
          <w:b/>
          <w:i/>
          <w:szCs w:val="20"/>
          <w:lang w:eastAsia="zh-CN"/>
        </w:rPr>
        <w:t xml:space="preserve">Proposal </w:t>
      </w:r>
      <w:r>
        <w:rPr>
          <w:rFonts w:hint="eastAsia"/>
          <w:b/>
          <w:i/>
          <w:szCs w:val="20"/>
          <w:lang w:val="en-US" w:eastAsia="zh-CN"/>
        </w:rPr>
        <w:t>5</w:t>
      </w:r>
      <w:r>
        <w:rPr>
          <w:b/>
          <w:i/>
          <w:szCs w:val="20"/>
          <w:lang w:eastAsia="zh-CN"/>
        </w:rPr>
        <w:t xml:space="preserve">: </w:t>
      </w:r>
      <w:r>
        <w:rPr>
          <w:rFonts w:hint="eastAsia"/>
          <w:b/>
          <w:i/>
          <w:szCs w:val="20"/>
          <w:lang w:val="en-US" w:eastAsia="zh-CN"/>
        </w:rPr>
        <w:t>The search space configuration should be enhanced to accommodate multi-slot PDCCH monitoring.</w:t>
      </w:r>
    </w:p>
    <w:p>
      <w:pPr>
        <w:rPr>
          <w:b/>
          <w:i/>
          <w:szCs w:val="20"/>
          <w:lang w:eastAsia="zh-CN"/>
        </w:rPr>
      </w:pPr>
    </w:p>
    <w:p>
      <w:pPr>
        <w:pStyle w:val="3"/>
        <w:bidi w:val="0"/>
        <w:ind w:left="431" w:leftChars="0" w:hanging="431" w:firstLineChars="0"/>
        <w:rPr>
          <w:rFonts w:hint="default"/>
          <w:lang w:val="en-US" w:eastAsia="zh-CN"/>
        </w:rPr>
      </w:pPr>
      <w:r>
        <w:rPr>
          <w:rFonts w:hint="eastAsia"/>
          <w:lang w:val="en-US" w:eastAsia="zh-CN"/>
        </w:rPr>
        <w:t>Search space set group switching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 For 480kHz SCS and 960KHz SCS, assuming X=2, the duration of a slot group is 62.5/31.25 us</w:t>
      </w:r>
      <w:r>
        <w:rPr>
          <w:rFonts w:hint="eastAsia"/>
          <w:szCs w:val="20"/>
          <w:lang w:val="en-US" w:eastAsia="zh-CN"/>
        </w:rPr>
        <w:t>, which is similar to the length of two or one OFDM symbol for</w:t>
      </w:r>
      <w:r>
        <w:rPr>
          <w:rFonts w:hint="eastAsia"/>
          <w:b w:val="0"/>
          <w:bCs/>
          <w:i w:val="0"/>
          <w:iCs/>
          <w:szCs w:val="20"/>
          <w:lang w:val="en-US" w:eastAsia="zh-CN"/>
        </w:rPr>
        <w:t xml:space="preserve"> 30kHz SCS. Thus, sufficient flexibility in channel access can be ensured even with multi-slot PDCCH monitoring. In additional, supporting slot-based PDCCH monitoring means that additional slot-based PDCCH monitoring capability need to be defined, which requires additional standardization efforts. Therefore, it is not necessary to support search space set group switching between slot-based PDCCH monitoring and multi-slot based PDCCH monitoring.  However, the balance between the channel access possibility and the power consumption on PDCCH monitoring is still needed. The periodicity of different search space set groups can be set differently, e.g.  shorter periodicity can be set for out of COT period and longer periodicity can be set for in-COT period.</w:t>
      </w:r>
    </w:p>
    <w:p>
      <w:pPr>
        <w:rPr>
          <w:rFonts w:hint="eastAsia"/>
          <w:b/>
          <w:i/>
          <w:szCs w:val="20"/>
          <w:lang w:val="en-US" w:eastAsia="zh-CN"/>
        </w:rPr>
      </w:pPr>
      <w:r>
        <w:rPr>
          <w:rFonts w:hint="eastAsia"/>
          <w:b/>
          <w:i/>
          <w:szCs w:val="20"/>
          <w:lang w:val="en-US" w:eastAsia="zh-CN"/>
        </w:rPr>
        <w:t xml:space="preserve">Proposal 6：It is not necessary to support search space set group switching between slot-based PDCCH monitoring and multi-slot PDCCH monitoring.  </w:t>
      </w:r>
    </w:p>
    <w:p>
      <w:pPr>
        <w:rPr>
          <w:rFonts w:hint="default"/>
          <w:b/>
          <w:i/>
          <w:szCs w:val="20"/>
          <w:lang w:val="en-US" w:eastAsia="zh-CN"/>
        </w:rPr>
      </w:pPr>
      <w:r>
        <w:rPr>
          <w:rFonts w:hint="eastAsia"/>
          <w:b/>
          <w:i/>
          <w:szCs w:val="20"/>
          <w:lang w:val="en-US" w:eastAsia="zh-CN"/>
        </w:rPr>
        <w:t xml:space="preserve">Proposal 7: </w:t>
      </w:r>
      <w:bookmarkStart w:id="16" w:name="OLE_LINK2"/>
      <w:r>
        <w:rPr>
          <w:rFonts w:hint="eastAsia"/>
          <w:b/>
          <w:i/>
          <w:szCs w:val="20"/>
          <w:lang w:val="en-US" w:eastAsia="zh-CN"/>
        </w:rPr>
        <w:t>Search space set group</w:t>
      </w:r>
      <w:bookmarkEnd w:id="16"/>
      <w:r>
        <w:rPr>
          <w:rFonts w:hint="eastAsia"/>
          <w:b/>
          <w:i/>
          <w:szCs w:val="20"/>
          <w:lang w:val="en-US" w:eastAsia="zh-CN"/>
        </w:rPr>
        <w:t xml:space="preserve"> switching between different search space set groups configured with different period should be supported.  </w:t>
      </w:r>
    </w:p>
    <w:p>
      <w:pPr>
        <w:rPr>
          <w:rFonts w:hint="default"/>
          <w:b/>
          <w:i/>
          <w:szCs w:val="20"/>
          <w:lang w:val="en-US" w:eastAsia="zh-CN"/>
        </w:rPr>
      </w:pPr>
    </w:p>
    <w:p>
      <w:pPr>
        <w:pStyle w:val="2"/>
      </w:pPr>
      <w:r>
        <w:t>Conclusion</w:t>
      </w:r>
    </w:p>
    <w:p>
      <w:pPr>
        <w:rPr>
          <w:rFonts w:hint="eastAsia" w:eastAsiaTheme="minorEastAsia"/>
          <w:lang w:val="en-US" w:eastAsia="zh-CN"/>
        </w:rPr>
      </w:pPr>
      <w:r>
        <w:t xml:space="preserve">In this contribution, we have discussed </w:t>
      </w:r>
      <w:r>
        <w:rPr>
          <w:rFonts w:hint="eastAsia"/>
          <w:bCs/>
          <w:lang w:val="en-US" w:eastAsia="zh-CN"/>
        </w:rPr>
        <w:t>the definition of multi-slot PDCCH monitoring capability, search space configuration enhancement and search space set group switching</w:t>
      </w:r>
      <w:r>
        <w:t>.</w:t>
      </w:r>
      <w:bookmarkStart w:id="17" w:name="OLE_LINK39"/>
      <w:bookmarkStart w:id="18" w:name="OLE_LINK5"/>
      <w:bookmarkStart w:id="19" w:name="OLE_LINK4"/>
      <w:bookmarkStart w:id="20" w:name="OLE_LINK40"/>
      <w:bookmarkStart w:id="21" w:name="OLE_LINK3"/>
      <w:bookmarkStart w:id="22" w:name="OLE_LINK6"/>
      <w:r>
        <w:t xml:space="preserve"> Based on the discussion in section 2, we provide the following proposals</w:t>
      </w:r>
      <w:r>
        <w:rPr>
          <w:rFonts w:hint="eastAsia"/>
          <w:lang w:val="en-US" w:eastAsia="zh-CN"/>
        </w:rPr>
        <w:t>:</w:t>
      </w:r>
    </w:p>
    <w:p>
      <w:pPr>
        <w:rPr>
          <w:rFonts w:hint="eastAsia"/>
          <w:b/>
          <w:i/>
          <w:szCs w:val="20"/>
          <w:lang w:val="en-US" w:eastAsia="zh-CN"/>
        </w:rPr>
      </w:pPr>
      <w:r>
        <w:rPr>
          <w:rFonts w:hint="eastAsia"/>
          <w:b/>
          <w:i/>
          <w:szCs w:val="20"/>
          <w:lang w:val="en-US" w:eastAsia="zh-CN"/>
        </w:rPr>
        <w:t>Proposal 1: Additional values of X could be 2 for 480kHz SCS and 4 for 960kHz SCS respectively for multi-slot PDCCH monitoring.</w:t>
      </w:r>
    </w:p>
    <w:p>
      <w:pPr>
        <w:rPr>
          <w:rFonts w:hint="eastAsia" w:eastAsia="宋体"/>
          <w:b/>
          <w:bCs/>
          <w:i/>
          <w:iCs/>
          <w:lang w:val="en-US" w:eastAsia="zh-CN"/>
        </w:rPr>
      </w:pPr>
      <w:r>
        <w:rPr>
          <w:rFonts w:hint="eastAsia" w:eastAsia="宋体"/>
          <w:b/>
          <w:bCs/>
          <w:i/>
          <w:iCs/>
          <w:lang w:val="en-US" w:eastAsia="zh-CN"/>
        </w:rPr>
        <w:t>Proposal 2: The monitoring occasions of Group (1) SS should overlap or be adjacent to the monitoring occasions of Group (2) SS within a slot group.</w:t>
      </w:r>
    </w:p>
    <w:p>
      <w:pPr>
        <w:rPr>
          <w:rFonts w:hint="eastAsia" w:eastAsia="宋体"/>
          <w:b/>
          <w:bCs/>
          <w:i/>
          <w:iCs/>
          <w:lang w:val="en-US" w:eastAsia="zh-CN"/>
        </w:rPr>
      </w:pPr>
      <w:r>
        <w:rPr>
          <w:rFonts w:hint="eastAsia" w:eastAsia="宋体"/>
          <w:b/>
          <w:bCs/>
          <w:i/>
          <w:iCs/>
          <w:lang w:val="en-US" w:eastAsia="zh-CN"/>
        </w:rPr>
        <w:t>Proposal 3: The monitoring occasions of Group (1) SS should be switched, when the monitoring occasions of Group (2) SS is changed based on the n0 slot index.</w:t>
      </w:r>
    </w:p>
    <w:p>
      <w:pPr>
        <w:rPr>
          <w:rFonts w:hint="default" w:eastAsia="宋体"/>
          <w:b/>
          <w:bCs/>
          <w:i/>
          <w:iCs/>
          <w:lang w:val="en-US" w:eastAsia="zh-CN"/>
        </w:rPr>
      </w:pPr>
      <w:r>
        <w:rPr>
          <w:rFonts w:hint="eastAsia"/>
          <w:b/>
          <w:bCs w:val="0"/>
          <w:i/>
          <w:iCs w:val="0"/>
          <w:szCs w:val="20"/>
          <w:lang w:val="en-US" w:eastAsia="zh-CN"/>
        </w:rPr>
        <w:t>Proposal 4: The value of Y</w:t>
      </w:r>
      <w:r>
        <w:rPr>
          <w:rFonts w:hint="eastAsia"/>
          <w:b/>
          <w:bCs w:val="0"/>
          <w:i/>
          <w:iCs w:val="0"/>
          <w:szCs w:val="20"/>
          <w:vertAlign w:val="subscript"/>
          <w:lang w:val="en-US" w:eastAsia="zh-CN"/>
        </w:rPr>
        <w:t>Group2</w:t>
      </w:r>
      <w:r>
        <w:rPr>
          <w:rFonts w:hint="eastAsia"/>
          <w:b/>
          <w:bCs w:val="0"/>
          <w:i/>
          <w:iCs w:val="0"/>
          <w:szCs w:val="20"/>
          <w:lang w:val="en-US" w:eastAsia="zh-CN"/>
        </w:rPr>
        <w:t xml:space="preserve"> sh</w:t>
      </w:r>
      <w:bookmarkStart w:id="23" w:name="_GoBack"/>
      <w:bookmarkEnd w:id="23"/>
      <w:r>
        <w:rPr>
          <w:rFonts w:hint="eastAsia"/>
          <w:b/>
          <w:bCs w:val="0"/>
          <w:i/>
          <w:iCs w:val="0"/>
          <w:szCs w:val="20"/>
          <w:lang w:val="en-US" w:eastAsia="zh-CN"/>
        </w:rPr>
        <w:t>ould be 2.</w:t>
      </w:r>
    </w:p>
    <w:p>
      <w:pPr>
        <w:rPr>
          <w:rFonts w:hint="default"/>
          <w:b/>
          <w:i/>
          <w:szCs w:val="20"/>
          <w:lang w:val="en-US" w:eastAsia="zh-CN"/>
        </w:rPr>
      </w:pPr>
      <w:r>
        <w:rPr>
          <w:b/>
          <w:i/>
          <w:szCs w:val="20"/>
          <w:lang w:eastAsia="zh-CN"/>
        </w:rPr>
        <w:t xml:space="preserve">Proposal </w:t>
      </w:r>
      <w:r>
        <w:rPr>
          <w:rFonts w:hint="eastAsia"/>
          <w:b/>
          <w:i/>
          <w:szCs w:val="20"/>
          <w:lang w:val="en-US" w:eastAsia="zh-CN"/>
        </w:rPr>
        <w:t>5</w:t>
      </w:r>
      <w:r>
        <w:rPr>
          <w:b/>
          <w:i/>
          <w:szCs w:val="20"/>
          <w:lang w:eastAsia="zh-CN"/>
        </w:rPr>
        <w:t xml:space="preserve">: </w:t>
      </w:r>
      <w:r>
        <w:rPr>
          <w:rFonts w:hint="eastAsia"/>
          <w:b/>
          <w:i/>
          <w:szCs w:val="20"/>
          <w:lang w:val="en-US" w:eastAsia="zh-CN"/>
        </w:rPr>
        <w:t>The search space configuration should be enhanced to accommodate multi-slot PDCCH monitoring.</w:t>
      </w:r>
    </w:p>
    <w:p>
      <w:pPr>
        <w:rPr>
          <w:rFonts w:hint="eastAsia"/>
          <w:b/>
          <w:i/>
          <w:szCs w:val="20"/>
          <w:lang w:val="en-US" w:eastAsia="zh-CN"/>
        </w:rPr>
      </w:pPr>
      <w:r>
        <w:rPr>
          <w:rFonts w:hint="eastAsia"/>
          <w:b/>
          <w:i/>
          <w:szCs w:val="20"/>
          <w:lang w:val="en-US" w:eastAsia="zh-CN"/>
        </w:rPr>
        <w:t xml:space="preserve">Proposal 6：It is not necessary to support search space set group switching between slot-based PDCCH monitoring and multi-slot PDCCH monitoring.  </w:t>
      </w:r>
    </w:p>
    <w:p>
      <w:pPr>
        <w:rPr>
          <w:rFonts w:hint="eastAsia"/>
          <w:b/>
          <w:i/>
          <w:szCs w:val="20"/>
          <w:lang w:val="en-US" w:eastAsia="zh-CN"/>
        </w:rPr>
      </w:pPr>
      <w:r>
        <w:rPr>
          <w:rFonts w:hint="eastAsia"/>
          <w:b/>
          <w:i/>
          <w:szCs w:val="20"/>
          <w:lang w:val="en-US" w:eastAsia="zh-CN"/>
        </w:rPr>
        <w:t>Proposal 7: Search space set group switching between different search space set groups configured with different period should be supported.</w:t>
      </w:r>
    </w:p>
    <w:p>
      <w:pPr>
        <w:rPr>
          <w:rFonts w:hint="eastAsia"/>
          <w:b/>
          <w:i/>
          <w:szCs w:val="20"/>
          <w:lang w:val="en-US" w:eastAsia="zh-CN"/>
        </w:rPr>
      </w:pPr>
    </w:p>
    <w:bookmarkEnd w:id="17"/>
    <w:bookmarkEnd w:id="18"/>
    <w:bookmarkEnd w:id="19"/>
    <w:bookmarkEnd w:id="20"/>
    <w:bookmarkEnd w:id="21"/>
    <w:bookmarkEnd w:id="22"/>
    <w:p>
      <w:pPr>
        <w:pStyle w:val="2"/>
      </w:pPr>
      <w:r>
        <w:t>Reference</w:t>
      </w:r>
    </w:p>
    <w:bookmarkEnd w:id="7"/>
    <w:p>
      <w:pPr>
        <w:pStyle w:val="51"/>
        <w:numPr>
          <w:ilvl w:val="0"/>
          <w:numId w:val="11"/>
        </w:numPr>
        <w:ind w:firstLineChars="0"/>
        <w:rPr>
          <w:lang w:eastAsia="zh-CN"/>
        </w:rPr>
      </w:pPr>
      <w:r>
        <w:rPr>
          <w:lang w:eastAsia="zh-CN"/>
        </w:rPr>
        <w:t>RAN1#10</w:t>
      </w:r>
      <w:r>
        <w:rPr>
          <w:rFonts w:hint="eastAsia"/>
          <w:lang w:val="en-US" w:eastAsia="zh-CN"/>
        </w:rPr>
        <w:t>6</w:t>
      </w:r>
      <w:r>
        <w:rPr>
          <w:lang w:eastAsia="zh-CN"/>
        </w:rPr>
        <w:t>b-e Chairman notes, 202</w:t>
      </w:r>
      <w:r>
        <w:rPr>
          <w:rFonts w:hint="eastAsia"/>
          <w:lang w:eastAsia="zh-CN"/>
        </w:rPr>
        <w:t>1</w:t>
      </w:r>
      <w:r>
        <w:rPr>
          <w:lang w:eastAsia="zh-CN"/>
        </w:rPr>
        <w:t>-</w:t>
      </w:r>
      <w:r>
        <w:rPr>
          <w:rFonts w:hint="eastAsia"/>
          <w:lang w:val="en-US" w:eastAsia="zh-CN"/>
        </w:rPr>
        <w:t>1</w:t>
      </w:r>
      <w:r>
        <w:rPr>
          <w:lang w:eastAsia="zh-CN"/>
        </w:rPr>
        <w:t>0</w:t>
      </w:r>
    </w:p>
    <w:p>
      <w:pPr>
        <w:pStyle w:val="51"/>
        <w:numPr>
          <w:ilvl w:val="0"/>
          <w:numId w:val="11"/>
        </w:numPr>
        <w:ind w:firstLineChars="0"/>
        <w:rPr>
          <w:lang w:eastAsia="zh-CN"/>
        </w:rPr>
      </w:pPr>
      <w:r>
        <w:rPr>
          <w:lang w:eastAsia="zh-CN"/>
        </w:rPr>
        <w:t>RAN1#10</w:t>
      </w:r>
      <w:r>
        <w:rPr>
          <w:rFonts w:hint="eastAsia"/>
          <w:lang w:val="en-US" w:eastAsia="zh-CN"/>
        </w:rPr>
        <w:t>6</w:t>
      </w:r>
      <w:r>
        <w:rPr>
          <w:lang w:eastAsia="zh-CN"/>
        </w:rPr>
        <w:t>-e Chairman notes, 202</w:t>
      </w:r>
      <w:r>
        <w:rPr>
          <w:rFonts w:hint="eastAsia"/>
          <w:lang w:eastAsia="zh-CN"/>
        </w:rPr>
        <w:t>1</w:t>
      </w:r>
      <w:r>
        <w:rPr>
          <w:lang w:eastAsia="zh-CN"/>
        </w:rPr>
        <w:t>-</w:t>
      </w:r>
      <w:r>
        <w:rPr>
          <w:rFonts w:hint="eastAsia"/>
          <w:lang w:val="en-US" w:eastAsia="zh-CN"/>
        </w:rPr>
        <w:t>08</w:t>
      </w:r>
    </w:p>
    <w:p>
      <w:pPr>
        <w:pStyle w:val="51"/>
        <w:numPr>
          <w:ilvl w:val="0"/>
          <w:numId w:val="11"/>
        </w:numPr>
        <w:ind w:firstLineChars="0"/>
        <w:jc w:val="left"/>
        <w:rPr>
          <w:lang w:eastAsia="zh-CN"/>
        </w:rPr>
      </w:pPr>
      <w:r>
        <w:rPr>
          <w:rFonts w:hint="eastAsia"/>
          <w:lang w:val="en-US" w:eastAsia="zh-CN"/>
        </w:rPr>
        <w:t>RP-212637</w:t>
      </w:r>
      <w:r>
        <w:rPr>
          <w:rFonts w:hint="eastAsia"/>
          <w:lang w:val="en-US" w:eastAsia="zh-CN"/>
        </w:rPr>
        <w:tab/>
      </w:r>
      <w:r>
        <w:rPr>
          <w:rFonts w:hint="eastAsia"/>
          <w:lang w:val="en-US" w:eastAsia="zh-CN"/>
        </w:rPr>
        <w:t>Revised WID: Extending current NR operation to 71GHz</w:t>
      </w:r>
      <w:r>
        <w:rPr>
          <w:rFonts w:hint="eastAsia"/>
          <w:lang w:val="en-US" w:eastAsia="zh-CN"/>
        </w:rPr>
        <w:tab/>
      </w:r>
      <w:r>
        <w:rPr>
          <w:rFonts w:hint="eastAsia"/>
          <w:lang w:val="en-US" w:eastAsia="zh-CN"/>
        </w:rPr>
        <w:tab/>
      </w:r>
      <w:r>
        <w:rPr>
          <w:rFonts w:hint="eastAsia"/>
          <w:lang w:val="en-US" w:eastAsia="zh-CN"/>
        </w:rPr>
        <w:t>Qualcomm, Intel, 2021-09</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3">
    <w:nsid w:val="45E05BD5"/>
    <w:multiLevelType w:val="multilevel"/>
    <w:tmpl w:val="45E05BD5"/>
    <w:lvl w:ilvl="0" w:tentative="0">
      <w:start w:val="1"/>
      <w:numFmt w:val="decimal"/>
      <w:pStyle w:val="8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A620CD"/>
    <w:multiLevelType w:val="multilevel"/>
    <w:tmpl w:val="58A620CD"/>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E0E7EF5"/>
    <w:multiLevelType w:val="multilevel"/>
    <w:tmpl w:val="5E0E7E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4CC7506"/>
    <w:multiLevelType w:val="multilevel"/>
    <w:tmpl w:val="74CC7506"/>
    <w:lvl w:ilvl="0" w:tentative="0">
      <w:start w:val="1"/>
      <w:numFmt w:val="decimal"/>
      <w:pStyle w:val="58"/>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FA0B93"/>
    <w:multiLevelType w:val="multilevel"/>
    <w:tmpl w:val="7BFA0B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2"/>
  </w:num>
  <w:num w:numId="4">
    <w:abstractNumId w:val="9"/>
  </w:num>
  <w:num w:numId="5">
    <w:abstractNumId w:val="7"/>
  </w:num>
  <w:num w:numId="6">
    <w:abstractNumId w:val="3"/>
  </w:num>
  <w:num w:numId="7">
    <w:abstractNumId w:val="8"/>
  </w:num>
  <w:num w:numId="8">
    <w:abstractNumId w:val="10"/>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A117D20"/>
    <w:rsid w:val="14283870"/>
    <w:rsid w:val="2C84203A"/>
    <w:rsid w:val="2E3E13E7"/>
    <w:rsid w:val="43B92A18"/>
    <w:rsid w:val="45ED6C35"/>
    <w:rsid w:val="48792000"/>
    <w:rsid w:val="5B8C599C"/>
    <w:rsid w:val="6AC8766D"/>
    <w:rsid w:val="70DC11F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0"/>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b/>
      <w:bCs/>
      <w:sz w:val="24"/>
    </w:rPr>
  </w:style>
  <w:style w:type="paragraph" w:styleId="4">
    <w:name w:val="heading 3"/>
    <w:basedOn w:val="1"/>
    <w:next w:val="1"/>
    <w:link w:val="50"/>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6"/>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55"/>
    <w:qFormat/>
    <w:uiPriority w:val="0"/>
    <w:rPr>
      <w:rFonts w:ascii="宋体"/>
      <w:sz w:val="18"/>
      <w:szCs w:val="18"/>
    </w:rPr>
  </w:style>
  <w:style w:type="paragraph" w:styleId="15">
    <w:name w:val="annotation text"/>
    <w:basedOn w:val="1"/>
    <w:link w:val="52"/>
    <w:qFormat/>
    <w:uiPriority w:val="0"/>
    <w:rPr>
      <w:sz w:val="20"/>
      <w:szCs w:val="20"/>
    </w:rPr>
  </w:style>
  <w:style w:type="paragraph" w:styleId="16">
    <w:name w:val="Body Text"/>
    <w:basedOn w:val="1"/>
    <w:link w:val="90"/>
    <w:qFormat/>
    <w:uiPriority w:val="0"/>
    <w:rPr>
      <w:sz w:val="20"/>
      <w:szCs w:val="20"/>
    </w:rPr>
  </w:style>
  <w:style w:type="paragraph" w:styleId="17">
    <w:name w:val="Body Text Indent"/>
    <w:basedOn w:val="1"/>
    <w:link w:val="56"/>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8"/>
    <w:qFormat/>
    <w:uiPriority w:val="0"/>
    <w:pPr>
      <w:tabs>
        <w:tab w:val="center" w:pos="4680"/>
        <w:tab w:val="right" w:pos="9360"/>
      </w:tabs>
    </w:pPr>
  </w:style>
  <w:style w:type="paragraph" w:styleId="22">
    <w:name w:val="header"/>
    <w:basedOn w:val="1"/>
    <w:link w:val="47"/>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3"/>
    <w:qFormat/>
    <w:uiPriority w:val="0"/>
    <w:rPr>
      <w:b/>
      <w:bCs/>
    </w:rPr>
  </w:style>
  <w:style w:type="paragraph" w:styleId="28">
    <w:name w:val="Body Text First Indent 2"/>
    <w:basedOn w:val="17"/>
    <w:link w:val="5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rPr>
  </w:style>
  <w:style w:type="paragraph" w:customStyle="1" w:styleId="40">
    <w:name w:val="References"/>
    <w:basedOn w:val="1"/>
    <w:qFormat/>
    <w:uiPriority w:val="0"/>
    <w:pPr>
      <w:numPr>
        <w:ilvl w:val="0"/>
        <w:numId w:val="3"/>
      </w:numPr>
      <w:adjustRightInd/>
      <w:spacing w:after="60"/>
      <w:jc w:val="left"/>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字符"/>
    <w:basedOn w:val="32"/>
    <w:link w:val="11"/>
    <w:qFormat/>
    <w:uiPriority w:val="0"/>
    <w:rPr>
      <w:b/>
      <w:bCs/>
    </w:rPr>
  </w:style>
  <w:style w:type="character" w:customStyle="1" w:styleId="47">
    <w:name w:val="页眉 字符"/>
    <w:basedOn w:val="32"/>
    <w:link w:val="22"/>
    <w:qFormat/>
    <w:uiPriority w:val="0"/>
    <w:rPr>
      <w:sz w:val="22"/>
      <w:szCs w:val="22"/>
    </w:rPr>
  </w:style>
  <w:style w:type="character" w:customStyle="1" w:styleId="48">
    <w:name w:val="页脚 字符"/>
    <w:basedOn w:val="32"/>
    <w:link w:val="21"/>
    <w:qFormat/>
    <w:uiPriority w:val="0"/>
    <w:rPr>
      <w:sz w:val="22"/>
      <w:szCs w:val="22"/>
    </w:rPr>
  </w:style>
  <w:style w:type="character" w:customStyle="1" w:styleId="49">
    <w:name w:val="word"/>
    <w:basedOn w:val="32"/>
    <w:qFormat/>
    <w:uiPriority w:val="0"/>
  </w:style>
  <w:style w:type="character" w:customStyle="1" w:styleId="50">
    <w:name w:val="标题 3 字符"/>
    <w:basedOn w:val="32"/>
    <w:link w:val="4"/>
    <w:qFormat/>
    <w:uiPriority w:val="0"/>
    <w:rPr>
      <w:b/>
      <w:sz w:val="22"/>
      <w:szCs w:val="22"/>
      <w:lang w:val="en-GB" w:eastAsia="en-US"/>
    </w:rPr>
  </w:style>
  <w:style w:type="paragraph" w:styleId="51">
    <w:name w:val="List Paragraph"/>
    <w:basedOn w:val="1"/>
    <w:link w:val="87"/>
    <w:qFormat/>
    <w:uiPriority w:val="34"/>
    <w:pPr>
      <w:ind w:firstLine="420" w:firstLineChars="200"/>
    </w:pPr>
  </w:style>
  <w:style w:type="character" w:customStyle="1" w:styleId="52">
    <w:name w:val="批注文字 字符"/>
    <w:basedOn w:val="32"/>
    <w:link w:val="15"/>
    <w:qFormat/>
    <w:uiPriority w:val="0"/>
    <w:rPr>
      <w:lang w:eastAsia="en-US"/>
    </w:rPr>
  </w:style>
  <w:style w:type="character" w:customStyle="1" w:styleId="53">
    <w:name w:val="批注主题 字符"/>
    <w:basedOn w:val="52"/>
    <w:link w:val="27"/>
    <w:qFormat/>
    <w:uiPriority w:val="0"/>
    <w:rPr>
      <w:b/>
      <w:bCs/>
      <w:lang w:eastAsia="en-US"/>
    </w:rPr>
  </w:style>
  <w:style w:type="paragraph" w:customStyle="1" w:styleId="54">
    <w:name w:val="tablecell"/>
    <w:basedOn w:val="1"/>
    <w:qFormat/>
    <w:uiPriority w:val="0"/>
    <w:pPr>
      <w:spacing w:before="40" w:after="40"/>
      <w:jc w:val="left"/>
    </w:pPr>
    <w:rPr>
      <w:rFonts w:hAnsi="Arial" w:cs="Arial"/>
      <w:sz w:val="20"/>
      <w:szCs w:val="20"/>
      <w:lang w:eastAsia="ja-JP"/>
    </w:rPr>
  </w:style>
  <w:style w:type="character" w:customStyle="1" w:styleId="55">
    <w:name w:val="文档结构图 字符"/>
    <w:basedOn w:val="32"/>
    <w:link w:val="14"/>
    <w:qFormat/>
    <w:uiPriority w:val="0"/>
    <w:rPr>
      <w:rFonts w:ascii="宋体"/>
      <w:sz w:val="18"/>
      <w:szCs w:val="18"/>
      <w:lang w:eastAsia="en-US"/>
    </w:rPr>
  </w:style>
  <w:style w:type="character" w:customStyle="1" w:styleId="56">
    <w:name w:val="正文文本缩进 字符"/>
    <w:basedOn w:val="32"/>
    <w:link w:val="17"/>
    <w:qFormat/>
    <w:uiPriority w:val="0"/>
    <w:rPr>
      <w:sz w:val="22"/>
      <w:szCs w:val="22"/>
      <w:lang w:eastAsia="en-US"/>
    </w:rPr>
  </w:style>
  <w:style w:type="character" w:customStyle="1" w:styleId="57">
    <w:name w:val="正文首行缩进 2 字符"/>
    <w:basedOn w:val="56"/>
    <w:link w:val="28"/>
    <w:qFormat/>
    <w:uiPriority w:val="0"/>
    <w:rPr>
      <w:sz w:val="22"/>
      <w:szCs w:val="22"/>
      <w:lang w:eastAsia="en-US"/>
    </w:rPr>
  </w:style>
  <w:style w:type="paragraph" w:customStyle="1" w:styleId="58">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9">
    <w:name w:val="Guidance"/>
    <w:basedOn w:val="1"/>
    <w:link w:val="60"/>
    <w:qFormat/>
    <w:uiPriority w:val="0"/>
    <w:pPr>
      <w:autoSpaceDE/>
      <w:autoSpaceDN/>
      <w:adjustRightInd/>
      <w:snapToGrid/>
      <w:spacing w:after="180"/>
      <w:jc w:val="left"/>
    </w:pPr>
    <w:rPr>
      <w:i/>
      <w:color w:val="0000FF"/>
      <w:sz w:val="20"/>
      <w:szCs w:val="20"/>
      <w:lang w:val="en-GB"/>
    </w:rPr>
  </w:style>
  <w:style w:type="character" w:customStyle="1" w:styleId="60">
    <w:name w:val="Guidance Char"/>
    <w:basedOn w:val="32"/>
    <w:link w:val="59"/>
    <w:qFormat/>
    <w:uiPriority w:val="0"/>
    <w:rPr>
      <w:i/>
      <w:color w:val="0000FF"/>
      <w:lang w:val="en-GB" w:eastAsia="en-US"/>
    </w:rPr>
  </w:style>
  <w:style w:type="paragraph" w:customStyle="1" w:styleId="61">
    <w:name w:val="TAC"/>
    <w:basedOn w:val="1"/>
    <w:link w:val="62"/>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2">
    <w:name w:val="TAC Char"/>
    <w:basedOn w:val="32"/>
    <w:link w:val="61"/>
    <w:qFormat/>
    <w:uiPriority w:val="0"/>
    <w:rPr>
      <w:rFonts w:ascii="Arial" w:hAnsi="Arial" w:eastAsia="Times New Roman"/>
      <w:sz w:val="18"/>
      <w:lang w:val="en-GB" w:eastAsia="ja-JP"/>
    </w:rPr>
  </w:style>
  <w:style w:type="paragraph" w:customStyle="1" w:styleId="63">
    <w:name w:val="Revision"/>
    <w:hidden/>
    <w:semiHidden/>
    <w:qFormat/>
    <w:uiPriority w:val="99"/>
    <w:rPr>
      <w:rFonts w:ascii="Times New Roman" w:hAnsi="Times New Roman" w:cs="Times New Roman" w:eastAsiaTheme="minorEastAsia"/>
      <w:sz w:val="22"/>
      <w:szCs w:val="22"/>
      <w:lang w:val="en-US" w:eastAsia="en-US" w:bidi="ar-SA"/>
    </w:rPr>
  </w:style>
  <w:style w:type="paragraph" w:customStyle="1" w:styleId="64">
    <w:name w:val="TAH"/>
    <w:basedOn w:val="61"/>
    <w:link w:val="86"/>
    <w:qFormat/>
    <w:uiPriority w:val="0"/>
    <w:pPr>
      <w:overflowPunct/>
      <w:autoSpaceDE/>
      <w:autoSpaceDN/>
      <w:adjustRightInd/>
      <w:textAlignment w:val="auto"/>
    </w:pPr>
    <w:rPr>
      <w:rFonts w:eastAsia="Malgun Gothic"/>
      <w:b/>
      <w:color w:val="000000"/>
    </w:rPr>
  </w:style>
  <w:style w:type="paragraph" w:customStyle="1" w:styleId="65">
    <w:name w:val="B1"/>
    <w:basedOn w:val="13"/>
    <w:link w:val="67"/>
    <w:qFormat/>
    <w:uiPriority w:val="0"/>
    <w:pPr>
      <w:autoSpaceDE/>
      <w:autoSpaceDN/>
      <w:adjustRightInd/>
      <w:snapToGrid/>
      <w:spacing w:after="180"/>
      <w:ind w:left="568" w:hanging="284"/>
      <w:jc w:val="left"/>
    </w:pPr>
    <w:rPr>
      <w:sz w:val="20"/>
      <w:szCs w:val="20"/>
      <w:lang w:val="en-GB"/>
    </w:rPr>
  </w:style>
  <w:style w:type="paragraph" w:customStyle="1" w:styleId="66">
    <w:name w:val="B2"/>
    <w:basedOn w:val="18"/>
    <w:qFormat/>
    <w:uiPriority w:val="99"/>
    <w:pPr>
      <w:numPr>
        <w:numId w:val="0"/>
      </w:numPr>
      <w:spacing w:before="0" w:after="180"/>
      <w:ind w:left="851" w:hanging="284"/>
    </w:pPr>
    <w:rPr>
      <w:rFonts w:ascii="Times New Roman" w:hAnsi="Times New Roman" w:eastAsia="宋体"/>
      <w:sz w:val="20"/>
      <w:lang w:val="en-GB"/>
    </w:rPr>
  </w:style>
  <w:style w:type="character" w:customStyle="1" w:styleId="67">
    <w:name w:val="B1 (文字)"/>
    <w:link w:val="65"/>
    <w:qFormat/>
    <w:locked/>
    <w:uiPriority w:val="0"/>
    <w:rPr>
      <w:lang w:val="en-GB" w:eastAsia="en-US"/>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CR Cover Page"/>
    <w:qFormat/>
    <w:uiPriority w:val="0"/>
    <w:pPr>
      <w:spacing w:after="120"/>
    </w:pPr>
    <w:rPr>
      <w:rFonts w:ascii="Arial" w:hAnsi="Arial" w:eastAsia="Times New Roman" w:cs="Times New Roman"/>
      <w:lang w:val="en-GB" w:eastAsia="en-US" w:bidi="ar-SA"/>
    </w:rPr>
  </w:style>
  <w:style w:type="character" w:customStyle="1" w:styleId="70">
    <w:name w:val="huawei"/>
    <w:basedOn w:val="32"/>
    <w:qFormat/>
    <w:uiPriority w:val="0"/>
  </w:style>
  <w:style w:type="character" w:customStyle="1" w:styleId="71">
    <w:name w:val="apple-converted-space"/>
    <w:basedOn w:val="32"/>
    <w:qFormat/>
    <w:uiPriority w:val="0"/>
  </w:style>
  <w:style w:type="character" w:styleId="72">
    <w:name w:val="Placeholder Text"/>
    <w:basedOn w:val="32"/>
    <w:semiHidden/>
    <w:qFormat/>
    <w:uiPriority w:val="99"/>
    <w:rPr>
      <w:color w:val="808080"/>
    </w:rPr>
  </w:style>
  <w:style w:type="paragraph" w:customStyle="1" w:styleId="73">
    <w:name w:val="MTDisplayEquation"/>
    <w:basedOn w:val="1"/>
    <w:next w:val="1"/>
    <w:link w:val="74"/>
    <w:qFormat/>
    <w:uiPriority w:val="0"/>
    <w:pPr>
      <w:pBdr>
        <w:bottom w:val="single" w:color="auto" w:sz="12" w:space="1"/>
      </w:pBdr>
      <w:tabs>
        <w:tab w:val="center" w:pos="4660"/>
        <w:tab w:val="right" w:pos="9320"/>
      </w:tabs>
    </w:pPr>
    <w:rPr>
      <w:lang w:eastAsia="zh-CN"/>
    </w:rPr>
  </w:style>
  <w:style w:type="character" w:customStyle="1" w:styleId="74">
    <w:name w:val="MTDisplayEquation Char"/>
    <w:basedOn w:val="32"/>
    <w:link w:val="73"/>
    <w:qFormat/>
    <w:uiPriority w:val="0"/>
    <w:rPr>
      <w:sz w:val="22"/>
      <w:szCs w:val="22"/>
    </w:rPr>
  </w:style>
  <w:style w:type="character" w:customStyle="1" w:styleId="75">
    <w:name w:val="MTEquationSection"/>
    <w:basedOn w:val="32"/>
    <w:qFormat/>
    <w:uiPriority w:val="0"/>
    <w:rPr>
      <w:b/>
      <w:vanish/>
      <w:color w:val="FF0000"/>
      <w:lang w:eastAsia="zh-CN"/>
    </w:rPr>
  </w:style>
  <w:style w:type="table" w:customStyle="1" w:styleId="76">
    <w:name w:val="List Table 6 Colorful"/>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Layout w:type="fixed"/>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7">
    <w:name w:val="样式 段前: 6 磅 底端: (单实线 自动设置  1.5 磅 行宽)"/>
    <w:basedOn w:val="1"/>
    <w:qFormat/>
    <w:uiPriority w:val="0"/>
    <w:pPr>
      <w:spacing w:before="120"/>
    </w:pPr>
    <w:rPr>
      <w:rFonts w:cs="宋体"/>
      <w:szCs w:val="20"/>
    </w:rPr>
  </w:style>
  <w:style w:type="paragraph" w:customStyle="1" w:styleId="78">
    <w:name w:val="样式 段前: 6 磅 底端: (单实线 自动设置  1.5 磅 行宽)1"/>
    <w:basedOn w:val="1"/>
    <w:qFormat/>
    <w:uiPriority w:val="0"/>
    <w:pPr>
      <w:spacing w:before="120"/>
    </w:pPr>
    <w:rPr>
      <w:rFonts w:cs="宋体"/>
      <w:szCs w:val="20"/>
    </w:rPr>
  </w:style>
  <w:style w:type="paragraph" w:customStyle="1" w:styleId="79">
    <w:name w:val="样式 段前: 6 磅 底端: (单实线 自动设置  1.5 磅 行宽)2"/>
    <w:basedOn w:val="1"/>
    <w:qFormat/>
    <w:uiPriority w:val="0"/>
    <w:pPr>
      <w:spacing w:before="120"/>
    </w:pPr>
    <w:rPr>
      <w:rFonts w:cs="宋体"/>
      <w:szCs w:val="20"/>
    </w:rPr>
  </w:style>
  <w:style w:type="character" w:customStyle="1" w:styleId="80">
    <w:name w:val="标题 1 字符"/>
    <w:basedOn w:val="32"/>
    <w:link w:val="2"/>
    <w:qFormat/>
    <w:uiPriority w:val="0"/>
    <w:rPr>
      <w:b/>
      <w:bCs/>
      <w:sz w:val="28"/>
      <w:szCs w:val="28"/>
      <w:lang w:eastAsia="en-US"/>
    </w:rPr>
  </w:style>
  <w:style w:type="paragraph" w:customStyle="1" w:styleId="81">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83">
    <w:name w:val="TH"/>
    <w:basedOn w:val="1"/>
    <w:link w:val="85"/>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4">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5">
    <w:name w:val="TH Char"/>
    <w:link w:val="83"/>
    <w:qFormat/>
    <w:uiPriority w:val="0"/>
    <w:rPr>
      <w:rFonts w:ascii="Arial" w:hAnsi="Arial" w:eastAsia="Times New Roman"/>
      <w:b/>
      <w:lang w:val="en-GB" w:eastAsia="en-US"/>
    </w:rPr>
  </w:style>
  <w:style w:type="character" w:customStyle="1" w:styleId="86">
    <w:name w:val="TAH Car"/>
    <w:link w:val="64"/>
    <w:qFormat/>
    <w:uiPriority w:val="0"/>
    <w:rPr>
      <w:rFonts w:ascii="Arial" w:hAnsi="Arial" w:eastAsia="Malgun Gothic"/>
      <w:b/>
      <w:color w:val="000000"/>
      <w:sz w:val="18"/>
      <w:lang w:val="en-GB" w:eastAsia="ja-JP"/>
    </w:rPr>
  </w:style>
  <w:style w:type="character" w:customStyle="1" w:styleId="87">
    <w:name w:val="列出段落 字符"/>
    <w:link w:val="51"/>
    <w:qFormat/>
    <w:locked/>
    <w:uiPriority w:val="34"/>
    <w:rPr>
      <w:sz w:val="22"/>
      <w:szCs w:val="22"/>
      <w:lang w:eastAsia="en-US"/>
    </w:rPr>
  </w:style>
  <w:style w:type="paragraph" w:customStyle="1" w:styleId="8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89">
    <w:name w:val="B1 Char1"/>
    <w:qFormat/>
    <w:uiPriority w:val="0"/>
    <w:rPr>
      <w:lang w:val="en-GB" w:eastAsia="en-US"/>
    </w:rPr>
  </w:style>
  <w:style w:type="character" w:customStyle="1" w:styleId="90">
    <w:name w:val="正文文本 字符"/>
    <w:basedOn w:val="32"/>
    <w:link w:val="16"/>
    <w:qFormat/>
    <w:uiPriority w:val="0"/>
    <w:rPr>
      <w:lang w:eastAsia="en-US"/>
    </w:rPr>
  </w:style>
  <w:style w:type="paragraph" w:customStyle="1" w:styleId="91">
    <w:name w:val="LGTdoc_본문"/>
    <w:basedOn w:val="1"/>
    <w:qFormat/>
    <w:uiPriority w:val="0"/>
    <w:pPr>
      <w:widowControl w:val="0"/>
      <w:autoSpaceDE/>
      <w:autoSpaceDN/>
      <w:adjustRightInd/>
      <w:spacing w:after="0" w:line="264" w:lineRule="auto"/>
    </w:pPr>
    <w:rPr>
      <w:rFonts w:eastAsia="Batang" w:asciiTheme="minorHAnsi" w:hAnsiTheme="minorHAnsi" w:cstheme="minorBidi"/>
      <w:kern w:val="2"/>
      <w:szCs w:val="24"/>
      <w:lang w:eastAsia="ko-KR"/>
    </w:rPr>
  </w:style>
  <w:style w:type="paragraph" w:customStyle="1" w:styleId="92">
    <w:name w:val="body"/>
    <w:basedOn w:val="1"/>
    <w:link w:val="93"/>
    <w:qFormat/>
    <w:uiPriority w:val="0"/>
    <w:pPr>
      <w:autoSpaceDE/>
      <w:autoSpaceDN/>
      <w:spacing w:before="120" w:after="220"/>
    </w:pPr>
    <w:rPr>
      <w:rFonts w:eastAsia="Batang"/>
      <w:snapToGrid w:val="0"/>
      <w:sz w:val="20"/>
      <w:szCs w:val="20"/>
      <w:lang w:val="en-GB" w:eastAsia="ko-KR"/>
    </w:rPr>
  </w:style>
  <w:style w:type="character" w:customStyle="1" w:styleId="93">
    <w:name w:val="body Char"/>
    <w:basedOn w:val="32"/>
    <w:link w:val="92"/>
    <w:qFormat/>
    <w:uiPriority w:val="0"/>
    <w:rPr>
      <w:rFonts w:eastAsia="Batang"/>
      <w:snapToGrid w:val="0"/>
      <w:lang w:val="en-GB" w:eastAsia="ko-KR"/>
    </w:rPr>
  </w:style>
  <w:style w:type="paragraph" w:customStyle="1" w:styleId="94">
    <w:name w:val="TF"/>
    <w:basedOn w:val="83"/>
    <w:link w:val="95"/>
    <w:qFormat/>
    <w:uiPriority w:val="0"/>
    <w:pPr>
      <w:keepNext w:val="0"/>
      <w:overflowPunct w:val="0"/>
      <w:autoSpaceDE w:val="0"/>
      <w:autoSpaceDN w:val="0"/>
      <w:adjustRightInd w:val="0"/>
      <w:spacing w:before="0" w:after="240"/>
      <w:textAlignment w:val="baseline"/>
    </w:pPr>
    <w:rPr>
      <w:rFonts w:eastAsiaTheme="minorEastAsia"/>
      <w:lang w:val="zh-CN" w:eastAsia="zh-CN"/>
    </w:rPr>
  </w:style>
  <w:style w:type="character" w:customStyle="1" w:styleId="95">
    <w:name w:val="TF Char"/>
    <w:link w:val="94"/>
    <w:qFormat/>
    <w:uiPriority w:val="0"/>
    <w:rPr>
      <w:rFonts w:ascii="Arial" w:hAnsi="Arial"/>
      <w:b/>
      <w:lang w:val="zh-CN" w:eastAsia="zh-CN"/>
    </w:rPr>
  </w:style>
  <w:style w:type="character" w:customStyle="1" w:styleId="96">
    <w:name w:val="B1 Char"/>
    <w:qFormat/>
    <w:uiPriority w:val="0"/>
    <w:rPr>
      <w:lang w:val="en-GB"/>
    </w:rPr>
  </w:style>
  <w:style w:type="character" w:customStyle="1" w:styleId="97">
    <w:name w:val="B1 Zchn"/>
    <w:qFormat/>
    <w:uiPriority w:val="0"/>
    <w:rPr>
      <w:lang w:eastAsia="en-US"/>
    </w:rPr>
  </w:style>
  <w:style w:type="paragraph" w:customStyle="1" w:styleId="9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9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34A09-C5CB-4E00-A4FD-D484023FBCF5}">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4</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2021-11-05T09:49:12Z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